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3"/>
        <w:numPr>
          <w:ilvl w:val="0"/>
          <w:numId w:val="1"/>
        </w:numPr>
        <w:outlineLvl w:val="0"/>
        <w:rPr>
          <w:sz w:val="32"/>
        </w:rPr>
      </w:pPr>
      <w:bookmarkStart w:id="0" w:name="_Toc4913"/>
      <w:r>
        <w:rPr>
          <w:rFonts w:eastAsia="Times New Roman"/>
          <w:sz w:val="32"/>
        </w:rPr>
        <w:t>RFID Manager Connection</w:t>
      </w:r>
      <w:bookmarkEnd w:id="0"/>
    </w:p>
    <w:p>
      <w:pPr>
        <w:spacing w:line="360" w:lineRule="auto"/>
        <w:ind w:firstLine="420"/>
        <w:rPr>
          <w:kern w:val="0"/>
          <w:sz w:val="24"/>
          <w:szCs w:val="21"/>
        </w:rPr>
      </w:pPr>
      <w:r>
        <w:rPr>
          <w:rFonts w:eastAsia="Times New Roman"/>
          <w:kern w:val="0"/>
          <w:sz w:val="24"/>
          <w:szCs w:val="21"/>
        </w:rPr>
        <w:t>This demonstration program is mainly used for the function demonstration and performance test of the reader, as well as the example code of Module</w:t>
      </w:r>
      <w:r>
        <w:rPr>
          <w:kern w:val="0"/>
          <w:sz w:val="24"/>
          <w:szCs w:val="21"/>
        </w:rPr>
        <w:t xml:space="preserve"> </w:t>
      </w:r>
      <w:r>
        <w:rPr>
          <w:rFonts w:eastAsia="Times New Roman"/>
          <w:kern w:val="0"/>
          <w:sz w:val="24"/>
          <w:szCs w:val="21"/>
        </w:rPr>
        <w:t>API.dll, while supporting network port and serial port communication.</w:t>
      </w:r>
    </w:p>
    <w:p>
      <w:pPr>
        <w:pStyle w:val="23"/>
        <w:numPr>
          <w:ilvl w:val="0"/>
          <w:numId w:val="2"/>
        </w:numPr>
        <w:spacing w:line="360" w:lineRule="auto"/>
        <w:rPr>
          <w:sz w:val="28"/>
          <w:szCs w:val="28"/>
        </w:rPr>
      </w:pPr>
      <w:bookmarkStart w:id="1" w:name="_Toc26466"/>
      <w:bookmarkStart w:id="2" w:name="_Toc26155"/>
      <w:bookmarkStart w:id="3" w:name="_Toc28367"/>
      <w:bookmarkStart w:id="4" w:name="_Toc18393"/>
      <w:bookmarkStart w:id="5" w:name="_Toc533689805"/>
      <w:bookmarkStart w:id="6" w:name="_Toc23459"/>
      <w:r>
        <w:rPr>
          <w:rFonts w:eastAsia="Times New Roman"/>
          <w:kern w:val="0"/>
          <w:sz w:val="28"/>
          <w:szCs w:val="28"/>
        </w:rPr>
        <w:t xml:space="preserve">Main </w:t>
      </w:r>
      <w:r>
        <w:rPr>
          <w:rFonts w:hint="eastAsia"/>
          <w:kern w:val="0"/>
          <w:sz w:val="28"/>
          <w:szCs w:val="28"/>
          <w:lang w:val="en-US" w:eastAsia="zh-CN"/>
        </w:rPr>
        <w:t>I</w:t>
      </w:r>
      <w:r>
        <w:rPr>
          <w:rFonts w:eastAsia="Times New Roman"/>
          <w:kern w:val="0"/>
          <w:sz w:val="28"/>
          <w:szCs w:val="28"/>
        </w:rPr>
        <w:t xml:space="preserve">nterface of the </w:t>
      </w:r>
      <w:r>
        <w:rPr>
          <w:rFonts w:hint="eastAsia"/>
          <w:kern w:val="0"/>
          <w:sz w:val="28"/>
          <w:szCs w:val="28"/>
          <w:lang w:val="en-US" w:eastAsia="zh-CN"/>
        </w:rPr>
        <w:t>P</w:t>
      </w:r>
      <w:r>
        <w:rPr>
          <w:rFonts w:eastAsia="Times New Roman"/>
          <w:kern w:val="0"/>
          <w:sz w:val="28"/>
          <w:szCs w:val="28"/>
        </w:rPr>
        <w:t>rogram</w:t>
      </w:r>
      <w:bookmarkEnd w:id="1"/>
      <w:bookmarkEnd w:id="2"/>
      <w:bookmarkEnd w:id="3"/>
      <w:bookmarkEnd w:id="4"/>
      <w:bookmarkEnd w:id="5"/>
      <w:bookmarkEnd w:id="6"/>
    </w:p>
    <w:p>
      <w:pPr>
        <w:spacing w:line="360" w:lineRule="auto"/>
        <w:ind w:firstLine="420"/>
        <w:rPr>
          <w:rFonts w:eastAsia="Times New Roman"/>
          <w:kern w:val="0"/>
          <w:sz w:val="24"/>
          <w:szCs w:val="21"/>
        </w:rPr>
      </w:pPr>
      <w:r>
        <w:rPr>
          <w:rFonts w:eastAsia="Times New Roman"/>
          <w:kern w:val="0"/>
          <w:sz w:val="24"/>
          <w:szCs w:val="21"/>
        </w:rPr>
        <w:t>Open the RFID Manager program, and its operation interface is shown in Figure 1:</w:t>
      </w:r>
    </w:p>
    <w:p>
      <w:pPr>
        <w:spacing w:line="360" w:lineRule="auto"/>
        <w:ind w:left="420" w:firstLine="420"/>
        <w:rPr>
          <w:sz w:val="28"/>
          <w:szCs w:val="28"/>
        </w:rPr>
      </w:pPr>
      <w:r>
        <w:rPr>
          <w:sz w:val="28"/>
          <w:szCs w:val="28"/>
        </w:rPr>
        <w:drawing>
          <wp:inline distT="0" distB="0" distL="0" distR="0">
            <wp:extent cx="5274310" cy="3281680"/>
            <wp:effectExtent l="0" t="0" r="2540" b="0"/>
            <wp:docPr id="154490629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4906297" name="图片 1"/>
                    <pic:cNvPicPr>
                      <a:picLocks noChangeAspect="1"/>
                    </pic:cNvPicPr>
                  </pic:nvPicPr>
                  <pic:blipFill>
                    <a:blip r:embed="rId5"/>
                    <a:stretch>
                      <a:fillRect/>
                    </a:stretch>
                  </pic:blipFill>
                  <pic:spPr>
                    <a:xfrm>
                      <a:off x="0" y="0"/>
                      <a:ext cx="5274310" cy="3281680"/>
                    </a:xfrm>
                    <a:prstGeom prst="rect">
                      <a:avLst/>
                    </a:prstGeom>
                  </pic:spPr>
                </pic:pic>
              </a:graphicData>
            </a:graphic>
          </wp:inline>
        </w:drawing>
      </w:r>
    </w:p>
    <w:p>
      <w:pPr>
        <w:spacing w:line="360" w:lineRule="auto"/>
        <w:ind w:left="4200" w:firstLine="420"/>
        <w:rPr>
          <w:sz w:val="28"/>
          <w:szCs w:val="28"/>
        </w:rPr>
      </w:pPr>
      <w:r>
        <w:rPr>
          <w:rFonts w:eastAsia="Times New Roman"/>
          <w:sz w:val="24"/>
          <w:szCs w:val="24"/>
        </w:rPr>
        <w:t>Figure 1</w:t>
      </w:r>
    </w:p>
    <w:p>
      <w:pPr>
        <w:spacing w:line="360" w:lineRule="auto"/>
        <w:ind w:left="420" w:firstLine="420"/>
        <w:rPr>
          <w:rFonts w:eastAsia="Times New Roman"/>
          <w:kern w:val="0"/>
          <w:sz w:val="24"/>
          <w:szCs w:val="21"/>
        </w:rPr>
      </w:pPr>
      <w:r>
        <w:rPr>
          <w:rFonts w:eastAsia="Times New Roman"/>
          <w:kern w:val="0"/>
          <w:sz w:val="24"/>
          <w:szCs w:val="21"/>
        </w:rPr>
        <w:t>The function menu in the upper right corner of the picture includes ‘Label Filtering’, ‘Count Statistics’, ‘Command Debugging’, ‘Language Switching’, ‘Minimize’, ‘Maximize’, and ‘Turn Off’ respectively.</w:t>
      </w:r>
      <w:bookmarkStart w:id="7" w:name="_Toc533689806"/>
      <w:bookmarkStart w:id="8" w:name="_Toc27339"/>
    </w:p>
    <w:p>
      <w:pPr>
        <w:spacing w:line="360" w:lineRule="auto"/>
        <w:rPr>
          <w:rFonts w:eastAsia="Times New Roman"/>
          <w:kern w:val="0"/>
          <w:sz w:val="24"/>
          <w:szCs w:val="21"/>
        </w:rPr>
      </w:pPr>
      <w:r>
        <w:rPr>
          <w:rFonts w:eastAsia="Times New Roman"/>
          <w:kern w:val="0"/>
          <w:sz w:val="24"/>
          <w:szCs w:val="21"/>
        </w:rPr>
        <w:t xml:space="preserve"> 2. </w:t>
      </w:r>
      <w:r>
        <w:rPr>
          <w:rFonts w:eastAsia="Times New Roman"/>
          <w:kern w:val="0"/>
          <w:sz w:val="28"/>
          <w:szCs w:val="28"/>
        </w:rPr>
        <w:t xml:space="preserve">Reader </w:t>
      </w:r>
      <w:r>
        <w:rPr>
          <w:rFonts w:hint="eastAsia"/>
          <w:kern w:val="0"/>
          <w:sz w:val="28"/>
          <w:szCs w:val="28"/>
          <w:lang w:val="en-US" w:eastAsia="zh-CN"/>
        </w:rPr>
        <w:t>C</w:t>
      </w:r>
      <w:r>
        <w:rPr>
          <w:rFonts w:eastAsia="Times New Roman"/>
          <w:kern w:val="0"/>
          <w:sz w:val="28"/>
          <w:szCs w:val="28"/>
        </w:rPr>
        <w:t>onnection</w:t>
      </w:r>
      <w:bookmarkEnd w:id="7"/>
      <w:bookmarkEnd w:id="8"/>
    </w:p>
    <w:p>
      <w:pPr>
        <w:spacing w:line="360" w:lineRule="auto"/>
        <w:outlineLvl w:val="2"/>
        <w:rPr>
          <w:kern w:val="0"/>
          <w:sz w:val="24"/>
          <w:szCs w:val="24"/>
        </w:rPr>
      </w:pPr>
      <w:bookmarkStart w:id="9" w:name="_Toc22639"/>
      <w:bookmarkStart w:id="10" w:name="_Toc533689807"/>
      <w:r>
        <w:rPr>
          <w:rFonts w:eastAsia="Times New Roman"/>
          <w:kern w:val="0"/>
          <w:sz w:val="24"/>
          <w:szCs w:val="24"/>
        </w:rPr>
        <w:t xml:space="preserve">   2.1 Network Port Connection</w:t>
      </w:r>
      <w:bookmarkEnd w:id="9"/>
      <w:bookmarkEnd w:id="10"/>
    </w:p>
    <w:p>
      <w:pPr>
        <w:spacing w:line="360" w:lineRule="auto"/>
        <w:ind w:firstLine="420"/>
        <w:rPr>
          <w:kern w:val="0"/>
          <w:sz w:val="24"/>
          <w:szCs w:val="21"/>
        </w:rPr>
      </w:pPr>
      <w:r>
        <w:rPr>
          <w:rFonts w:eastAsia="Times New Roman"/>
          <w:kern w:val="0"/>
          <w:sz w:val="24"/>
          <w:szCs w:val="21"/>
        </w:rPr>
        <w:t xml:space="preserve">In a network port connection, the default address of the reader is </w:t>
      </w:r>
      <w:r>
        <w:rPr>
          <w:rFonts w:eastAsia="Times New Roman"/>
          <w:kern w:val="0"/>
          <w:sz w:val="24"/>
          <w:szCs w:val="21"/>
          <w:highlight w:val="yellow"/>
        </w:rPr>
        <w:t>192.168.1.100</w:t>
      </w:r>
      <w:r>
        <w:rPr>
          <w:rFonts w:eastAsia="Times New Roman"/>
          <w:kern w:val="0"/>
          <w:sz w:val="24"/>
          <w:szCs w:val="21"/>
        </w:rPr>
        <w:t xml:space="preserve">, the default gateway is 192.168.1.254, the </w:t>
      </w:r>
      <w:r>
        <w:rPr>
          <w:kern w:val="0"/>
          <w:sz w:val="24"/>
          <w:szCs w:val="21"/>
        </w:rPr>
        <w:t>sub-net</w:t>
      </w:r>
      <w:r>
        <w:rPr>
          <w:rFonts w:eastAsia="Times New Roman"/>
          <w:kern w:val="0"/>
          <w:sz w:val="24"/>
          <w:szCs w:val="21"/>
        </w:rPr>
        <w:t xml:space="preserve"> mask is 255.255.255.0, </w:t>
      </w:r>
      <w:r>
        <w:rPr>
          <w:rFonts w:eastAsia="Times New Roman"/>
          <w:kern w:val="0"/>
          <w:sz w:val="24"/>
          <w:szCs w:val="21"/>
          <w:highlight w:val="yellow"/>
        </w:rPr>
        <w:t>and the IP address of the computer connected to the reader must be in the same network segment as the IP address of the reader.</w:t>
      </w:r>
      <w:r>
        <w:rPr>
          <w:rFonts w:eastAsia="Times New Roman"/>
          <w:kern w:val="0"/>
          <w:sz w:val="24"/>
          <w:szCs w:val="21"/>
        </w:rPr>
        <w:t xml:space="preserve"> Set up correctly after the computer IP address, the system ‘start run’ enter CMD command, enter the command interface, input ping 192.168.1.100 - t check whether the network physical connection is unobstructed. Check the connection flow can be so join operations. (If not, please find the device reset button and press 4 seconds, the status light changes color indicates successful reset, or not, enter arp -d in the CMD command interface, clear the MAC address list and check whether it is smooth).</w:t>
      </w:r>
    </w:p>
    <w:p>
      <w:pPr>
        <w:spacing w:line="360" w:lineRule="auto"/>
        <w:ind w:firstLine="420"/>
        <w:rPr>
          <w:color w:val="000000"/>
          <w:kern w:val="0"/>
          <w:sz w:val="24"/>
          <w:szCs w:val="21"/>
        </w:rPr>
      </w:pPr>
      <w:r>
        <w:drawing>
          <wp:anchor distT="0" distB="0" distL="114300" distR="114300" simplePos="0" relativeHeight="251659264" behindDoc="0" locked="0" layoutInCell="1" allowOverlap="1">
            <wp:simplePos x="0" y="0"/>
            <wp:positionH relativeFrom="column">
              <wp:posOffset>-57150</wp:posOffset>
            </wp:positionH>
            <wp:positionV relativeFrom="paragraph">
              <wp:posOffset>325755</wp:posOffset>
            </wp:positionV>
            <wp:extent cx="5505450" cy="3133725"/>
            <wp:effectExtent l="0" t="0" r="0" b="9525"/>
            <wp:wrapSquare wrapText="bothSides"/>
            <wp:docPr id="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3"/>
                    <pic:cNvPicPr>
                      <a:picLocks noChangeAspect="1"/>
                    </pic:cNvPicPr>
                  </pic:nvPicPr>
                  <pic:blipFill>
                    <a:blip r:embed="rId6"/>
                    <a:stretch>
                      <a:fillRect/>
                    </a:stretch>
                  </pic:blipFill>
                  <pic:spPr>
                    <a:xfrm>
                      <a:off x="0" y="0"/>
                      <a:ext cx="5505450" cy="3133725"/>
                    </a:xfrm>
                    <a:prstGeom prst="rect">
                      <a:avLst/>
                    </a:prstGeom>
                    <a:noFill/>
                    <a:ln>
                      <a:noFill/>
                    </a:ln>
                  </pic:spPr>
                </pic:pic>
              </a:graphicData>
            </a:graphic>
          </wp:anchor>
        </w:drawing>
      </w:r>
      <w:r>
        <w:rPr>
          <w:rFonts w:eastAsia="Times New Roman"/>
          <w:color w:val="000000"/>
          <w:kern w:val="0"/>
          <w:sz w:val="24"/>
          <w:szCs w:val="21"/>
        </w:rPr>
        <w:t xml:space="preserve">Check the network port connection is </w:t>
      </w:r>
      <w:r>
        <w:rPr>
          <w:rFonts w:eastAsia="Times New Roman"/>
          <w:kern w:val="0"/>
          <w:sz w:val="24"/>
          <w:szCs w:val="21"/>
        </w:rPr>
        <w:t>smooth</w:t>
      </w:r>
      <w:r>
        <w:rPr>
          <w:rFonts w:eastAsia="Times New Roman"/>
          <w:color w:val="000000"/>
          <w:kern w:val="0"/>
          <w:sz w:val="24"/>
          <w:szCs w:val="21"/>
        </w:rPr>
        <w:t>, as shown in Figure 2:</w:t>
      </w:r>
    </w:p>
    <w:p>
      <w:pPr>
        <w:spacing w:line="360" w:lineRule="auto"/>
        <w:jc w:val="center"/>
        <w:rPr>
          <w:color w:val="000000"/>
          <w:kern w:val="0"/>
          <w:sz w:val="24"/>
          <w:szCs w:val="21"/>
        </w:rPr>
      </w:pPr>
      <w:r>
        <w:rPr>
          <w:rFonts w:eastAsia="Times New Roman"/>
          <w:color w:val="000000"/>
          <w:kern w:val="0"/>
          <w:sz w:val="24"/>
          <w:szCs w:val="21"/>
        </w:rPr>
        <w:t>Figure 2</w:t>
      </w:r>
    </w:p>
    <w:p>
      <w:pPr>
        <w:spacing w:line="360" w:lineRule="auto"/>
        <w:ind w:firstLine="420"/>
        <w:rPr>
          <w:color w:val="000000"/>
          <w:kern w:val="0"/>
          <w:sz w:val="24"/>
          <w:szCs w:val="21"/>
        </w:rPr>
      </w:pPr>
    </w:p>
    <w:p>
      <w:pPr>
        <w:spacing w:line="360" w:lineRule="auto"/>
        <w:ind w:firstLine="420"/>
        <w:rPr>
          <w:kern w:val="0"/>
          <w:sz w:val="24"/>
          <w:szCs w:val="21"/>
        </w:rPr>
      </w:pPr>
      <w:r>
        <w:rPr>
          <w:rFonts w:eastAsia="Times New Roman"/>
          <w:kern w:val="0"/>
          <w:sz w:val="24"/>
          <w:szCs w:val="21"/>
        </w:rPr>
        <w:t xml:space="preserve">After confirming that the </w:t>
      </w:r>
      <w:r>
        <w:rPr>
          <w:kern w:val="0"/>
          <w:sz w:val="24"/>
          <w:szCs w:val="21"/>
        </w:rPr>
        <w:t>IP</w:t>
      </w:r>
      <w:r>
        <w:rPr>
          <w:rFonts w:eastAsia="Times New Roman"/>
          <w:kern w:val="0"/>
          <w:sz w:val="24"/>
          <w:szCs w:val="21"/>
        </w:rPr>
        <w:t xml:space="preserve"> address of the reader and the computer are in the same network segment, click the default </w:t>
      </w:r>
      <w:r>
        <w:rPr>
          <w:kern w:val="0"/>
          <w:sz w:val="24"/>
          <w:szCs w:val="21"/>
        </w:rPr>
        <w:t>IP</w:t>
      </w:r>
      <w:r>
        <w:rPr>
          <w:rFonts w:eastAsia="Times New Roman"/>
          <w:kern w:val="0"/>
          <w:sz w:val="24"/>
          <w:szCs w:val="21"/>
        </w:rPr>
        <w:t xml:space="preserve"> address 192.168.1.100 in the RFID Manager program, and then select the corresponding antenna port. </w:t>
      </w:r>
      <w:r>
        <w:rPr>
          <w:rFonts w:eastAsia="Times New Roman"/>
          <w:kern w:val="0"/>
          <w:sz w:val="24"/>
          <w:szCs w:val="21"/>
          <w:highlight w:val="yellow"/>
        </w:rPr>
        <w:t>The number of antenna ports is determined by the number of antenna ports supported by the reader rather than several antennas</w:t>
      </w:r>
      <w:r>
        <w:rPr>
          <w:rFonts w:eastAsia="Times New Roman"/>
          <w:kern w:val="0"/>
          <w:sz w:val="24"/>
          <w:szCs w:val="21"/>
        </w:rPr>
        <w:t>.</w:t>
      </w:r>
    </w:p>
    <w:p>
      <w:pPr>
        <w:spacing w:line="360" w:lineRule="auto"/>
        <w:ind w:firstLine="420"/>
        <w:rPr>
          <w:kern w:val="0"/>
          <w:sz w:val="24"/>
          <w:szCs w:val="21"/>
        </w:rPr>
      </w:pPr>
      <w:r>
        <w:rPr>
          <w:rFonts w:eastAsia="Times New Roman"/>
          <w:kern w:val="0"/>
          <w:sz w:val="24"/>
          <w:szCs w:val="21"/>
        </w:rPr>
        <w:t>After the address and the number of antenna ports are selected, click the green ‘Connect reader’ button to realize the connection. After the reader is correctly connected, you can see the relevant information of the device. Figure 3:</w:t>
      </w:r>
    </w:p>
    <w:p>
      <w:pPr>
        <w:spacing w:line="360" w:lineRule="auto"/>
        <w:ind w:firstLine="420"/>
        <w:rPr>
          <w:kern w:val="0"/>
          <w:sz w:val="24"/>
          <w:szCs w:val="21"/>
        </w:rPr>
      </w:pPr>
      <w:r>
        <w:rPr>
          <w:kern w:val="0"/>
          <w:sz w:val="24"/>
          <w:szCs w:val="21"/>
        </w:rPr>
        <w:drawing>
          <wp:inline distT="0" distB="0" distL="0" distR="0">
            <wp:extent cx="5274310" cy="3281680"/>
            <wp:effectExtent l="0" t="0" r="2540" b="0"/>
            <wp:docPr id="88151468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1514687" name="图片 2"/>
                    <pic:cNvPicPr>
                      <a:picLocks noChangeAspect="1"/>
                    </pic:cNvPicPr>
                  </pic:nvPicPr>
                  <pic:blipFill>
                    <a:blip r:embed="rId7"/>
                    <a:stretch>
                      <a:fillRect/>
                    </a:stretch>
                  </pic:blipFill>
                  <pic:spPr>
                    <a:xfrm>
                      <a:off x="0" y="0"/>
                      <a:ext cx="5274310" cy="3281680"/>
                    </a:xfrm>
                    <a:prstGeom prst="rect">
                      <a:avLst/>
                    </a:prstGeom>
                  </pic:spPr>
                </pic:pic>
              </a:graphicData>
            </a:graphic>
          </wp:inline>
        </w:drawing>
      </w:r>
    </w:p>
    <w:p>
      <w:pPr>
        <w:spacing w:line="360" w:lineRule="auto"/>
        <w:ind w:left="3360" w:firstLine="720" w:firstLineChars="300"/>
        <w:rPr>
          <w:kern w:val="0"/>
          <w:sz w:val="24"/>
          <w:szCs w:val="21"/>
        </w:rPr>
      </w:pPr>
      <w:r>
        <w:rPr>
          <w:rFonts w:eastAsia="Times New Roman"/>
          <w:kern w:val="0"/>
          <w:sz w:val="24"/>
          <w:szCs w:val="21"/>
        </w:rPr>
        <w:t>Figure 3</w:t>
      </w:r>
      <w:bookmarkStart w:id="11" w:name="_Toc533689808"/>
      <w:bookmarkStart w:id="12" w:name="_Toc109"/>
    </w:p>
    <w:p>
      <w:pPr>
        <w:spacing w:line="360" w:lineRule="auto"/>
        <w:rPr>
          <w:kern w:val="0"/>
          <w:sz w:val="24"/>
          <w:szCs w:val="21"/>
        </w:rPr>
      </w:pPr>
      <w:r>
        <w:rPr>
          <w:kern w:val="0"/>
          <w:sz w:val="24"/>
          <w:szCs w:val="21"/>
        </w:rPr>
        <w:t xml:space="preserve">  2.2 </w:t>
      </w:r>
      <w:r>
        <w:rPr>
          <w:rFonts w:eastAsia="Times New Roman"/>
          <w:kern w:val="0"/>
          <w:sz w:val="24"/>
          <w:szCs w:val="24"/>
        </w:rPr>
        <w:t>Serial Port Connection</w:t>
      </w:r>
      <w:bookmarkEnd w:id="11"/>
      <w:bookmarkEnd w:id="12"/>
    </w:p>
    <w:p>
      <w:pPr>
        <w:spacing w:line="360" w:lineRule="auto"/>
        <w:rPr>
          <w:kern w:val="0"/>
          <w:sz w:val="24"/>
          <w:szCs w:val="24"/>
        </w:rPr>
      </w:pPr>
      <w:r>
        <w:rPr>
          <w:rFonts w:eastAsia="Times New Roman"/>
          <w:kern w:val="0"/>
          <w:sz w:val="24"/>
          <w:szCs w:val="24"/>
        </w:rPr>
        <w:tab/>
      </w:r>
      <w:r>
        <w:rPr>
          <w:rFonts w:eastAsia="Times New Roman"/>
          <w:kern w:val="0"/>
          <w:sz w:val="24"/>
          <w:szCs w:val="24"/>
        </w:rPr>
        <w:t xml:space="preserve">To a serial port connection, you must first install a serial port devices (if it is using a USB serial port, or a card with USB port equipment) drive </w:t>
      </w:r>
      <w:r>
        <w:rPr>
          <w:rFonts w:eastAsia="Times New Roman"/>
          <w:color w:val="0000FF"/>
          <w:kern w:val="0"/>
          <w:sz w:val="24"/>
          <w:szCs w:val="24"/>
        </w:rPr>
        <w:t>(https://www.ftdichip.com/Drivers/D2XX.htm)</w:t>
      </w:r>
      <w:r>
        <w:rPr>
          <w:rFonts w:eastAsia="Times New Roman"/>
          <w:kern w:val="0"/>
          <w:sz w:val="24"/>
          <w:szCs w:val="24"/>
        </w:rPr>
        <w:t>, and then choose the correct serial port address. The address of the serial port can be found in the Port (COM and LPT) TAB of the Device Manager by right-clicking the computer icon on the desktop and selecting Device Management. As shown in Figure 4:</w:t>
      </w:r>
    </w:p>
    <w:p>
      <w:pPr>
        <w:spacing w:line="360" w:lineRule="auto"/>
      </w:pPr>
      <w:r>
        <w:drawing>
          <wp:inline distT="0" distB="0" distL="114300" distR="114300">
            <wp:extent cx="5167630" cy="3157220"/>
            <wp:effectExtent l="0" t="0" r="0" b="5080"/>
            <wp:docPr id="6" name="图片框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框 1038"/>
                    <pic:cNvPicPr>
                      <a:picLocks noChangeAspect="1"/>
                    </pic:cNvPicPr>
                  </pic:nvPicPr>
                  <pic:blipFill>
                    <a:blip r:embed="rId8"/>
                    <a:stretch>
                      <a:fillRect/>
                    </a:stretch>
                  </pic:blipFill>
                  <pic:spPr>
                    <a:xfrm>
                      <a:off x="0" y="0"/>
                      <a:ext cx="5174004" cy="3161190"/>
                    </a:xfrm>
                    <a:prstGeom prst="rect">
                      <a:avLst/>
                    </a:prstGeom>
                    <a:noFill/>
                    <a:ln>
                      <a:noFill/>
                    </a:ln>
                  </pic:spPr>
                </pic:pic>
              </a:graphicData>
            </a:graphic>
          </wp:inline>
        </w:drawing>
      </w:r>
    </w:p>
    <w:p>
      <w:pPr>
        <w:spacing w:line="360" w:lineRule="auto"/>
        <w:ind w:left="2940" w:firstLine="1050" w:firstLineChars="500"/>
      </w:pPr>
      <w:r>
        <w:rPr>
          <w:rFonts w:eastAsia="Times New Roman"/>
        </w:rPr>
        <w:t>Figure 4</w:t>
      </w:r>
    </w:p>
    <w:p>
      <w:pPr>
        <w:spacing w:line="360" w:lineRule="auto"/>
        <w:ind w:firstLine="420"/>
        <w:rPr>
          <w:rFonts w:eastAsia="Times New Roman"/>
          <w:kern w:val="0"/>
          <w:sz w:val="24"/>
          <w:szCs w:val="21"/>
        </w:rPr>
      </w:pPr>
      <w:r>
        <w:rPr>
          <w:rFonts w:eastAsia="Times New Roman"/>
          <w:kern w:val="0"/>
          <w:sz w:val="24"/>
          <w:szCs w:val="21"/>
        </w:rPr>
        <w:t xml:space="preserve">After determining the serial port of the reader, click the serial port number in the RFID Manager program to fill the first device serial port in the computer (if the first is not the serial port of the reader needs to be manually modified), and then select the corresponding antenna port. </w:t>
      </w:r>
      <w:r>
        <w:rPr>
          <w:rFonts w:eastAsia="Times New Roman"/>
          <w:kern w:val="0"/>
          <w:sz w:val="24"/>
          <w:szCs w:val="21"/>
          <w:highlight w:val="yellow"/>
        </w:rPr>
        <w:t>The number of antenna ports is determined by the number of antenna ports supported by the reader rather than the number of antennas to be connected.</w:t>
      </w:r>
    </w:p>
    <w:p>
      <w:pPr>
        <w:spacing w:line="360" w:lineRule="auto"/>
        <w:ind w:firstLine="420"/>
        <w:rPr>
          <w:kern w:val="0"/>
          <w:sz w:val="24"/>
          <w:szCs w:val="21"/>
        </w:rPr>
      </w:pPr>
      <w:r>
        <w:rPr>
          <w:rFonts w:eastAsia="Times New Roman"/>
          <w:kern w:val="0"/>
          <w:sz w:val="24"/>
          <w:szCs w:val="21"/>
        </w:rPr>
        <w:t>After the address and the number of antenna ports are selected, click the green ‘Connect reader’ button to realize the connection. After the reader is correctly connected, you can see the relevant information of the device. The interface can refer to Figure 3.</w:t>
      </w:r>
    </w:p>
    <w:p>
      <w:pPr>
        <w:pStyle w:val="23"/>
        <w:numPr>
          <w:ilvl w:val="0"/>
          <w:numId w:val="3"/>
        </w:numPr>
        <w:spacing w:line="360" w:lineRule="auto"/>
        <w:rPr>
          <w:sz w:val="32"/>
        </w:rPr>
      </w:pPr>
      <w:r>
        <w:rPr>
          <w:rFonts w:eastAsia="Times New Roman"/>
          <w:sz w:val="32"/>
        </w:rPr>
        <w:t>RFID Manager Inventory</w:t>
      </w:r>
    </w:p>
    <w:p>
      <w:pPr>
        <w:pStyle w:val="23"/>
        <w:numPr>
          <w:ilvl w:val="0"/>
          <w:numId w:val="4"/>
        </w:numPr>
        <w:spacing w:line="360" w:lineRule="auto"/>
        <w:rPr>
          <w:sz w:val="32"/>
        </w:rPr>
      </w:pPr>
      <w:r>
        <w:rPr>
          <w:rFonts w:eastAsia="Times New Roman"/>
          <w:kern w:val="0"/>
          <w:sz w:val="28"/>
          <w:szCs w:val="28"/>
        </w:rPr>
        <w:t xml:space="preserve">Inventory </w:t>
      </w:r>
      <w:r>
        <w:rPr>
          <w:rFonts w:hint="eastAsia"/>
          <w:kern w:val="0"/>
          <w:sz w:val="28"/>
          <w:szCs w:val="28"/>
          <w:lang w:val="en-US" w:eastAsia="zh-CN"/>
        </w:rPr>
        <w:t>I</w:t>
      </w:r>
      <w:r>
        <w:rPr>
          <w:rFonts w:eastAsia="Times New Roman"/>
          <w:kern w:val="0"/>
          <w:sz w:val="28"/>
          <w:szCs w:val="28"/>
        </w:rPr>
        <w:t>nterface</w:t>
      </w:r>
    </w:p>
    <w:p>
      <w:pPr>
        <w:spacing w:line="360" w:lineRule="auto"/>
        <w:ind w:firstLine="420"/>
        <w:rPr>
          <w:rFonts w:eastAsia="Times New Roman"/>
          <w:kern w:val="0"/>
          <w:sz w:val="24"/>
          <w:szCs w:val="21"/>
        </w:rPr>
      </w:pPr>
      <w:r>
        <w:rPr>
          <w:rFonts w:eastAsia="Times New Roman"/>
          <w:kern w:val="0"/>
          <w:sz w:val="24"/>
          <w:szCs w:val="21"/>
        </w:rPr>
        <w:t>After the reader is connected successfully, click ‘Inventory’ in the left menu bar to enter the interface in Figure 5:</w:t>
      </w:r>
    </w:p>
    <w:p>
      <w:pPr>
        <w:spacing w:line="360" w:lineRule="auto"/>
        <w:ind w:firstLine="420"/>
        <w:outlineLvl w:val="1"/>
        <w:rPr>
          <w:sz w:val="28"/>
          <w:szCs w:val="28"/>
        </w:rPr>
      </w:pPr>
      <w:r>
        <w:rPr>
          <w:sz w:val="28"/>
          <w:szCs w:val="28"/>
        </w:rPr>
        <w:drawing>
          <wp:inline distT="0" distB="0" distL="0" distR="0">
            <wp:extent cx="4739640" cy="2745740"/>
            <wp:effectExtent l="0" t="0" r="3810" b="0"/>
            <wp:docPr id="45987085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870854" name="图片 3"/>
                    <pic:cNvPicPr>
                      <a:picLocks noChangeAspect="1"/>
                    </pic:cNvPicPr>
                  </pic:nvPicPr>
                  <pic:blipFill>
                    <a:blip r:embed="rId9"/>
                    <a:stretch>
                      <a:fillRect/>
                    </a:stretch>
                  </pic:blipFill>
                  <pic:spPr>
                    <a:xfrm>
                      <a:off x="0" y="0"/>
                      <a:ext cx="4745423" cy="2749214"/>
                    </a:xfrm>
                    <a:prstGeom prst="rect">
                      <a:avLst/>
                    </a:prstGeom>
                  </pic:spPr>
                </pic:pic>
              </a:graphicData>
            </a:graphic>
          </wp:inline>
        </w:drawing>
      </w:r>
    </w:p>
    <w:p>
      <w:pPr>
        <w:tabs>
          <w:tab w:val="left" w:pos="5293"/>
        </w:tabs>
        <w:spacing w:line="360" w:lineRule="auto"/>
        <w:ind w:firstLine="4080" w:firstLineChars="1700"/>
        <w:outlineLvl w:val="1"/>
        <w:rPr>
          <w:sz w:val="24"/>
          <w:szCs w:val="24"/>
        </w:rPr>
      </w:pPr>
      <w:r>
        <w:rPr>
          <w:rFonts w:eastAsia="Times New Roman"/>
          <w:sz w:val="24"/>
          <w:szCs w:val="24"/>
        </w:rPr>
        <w:t>Figure 5</w:t>
      </w:r>
    </w:p>
    <w:p>
      <w:pPr>
        <w:spacing w:line="360" w:lineRule="auto"/>
        <w:ind w:firstLine="480" w:firstLineChars="200"/>
        <w:rPr>
          <w:kern w:val="0"/>
          <w:sz w:val="24"/>
          <w:szCs w:val="21"/>
        </w:rPr>
      </w:pPr>
      <w:r>
        <w:rPr>
          <w:rFonts w:eastAsia="Times New Roman"/>
          <w:kern w:val="0"/>
          <w:sz w:val="24"/>
          <w:szCs w:val="21"/>
        </w:rPr>
        <w:t>It contains 3 statistics,4 action buttons. From left to right, the statistics include ‘number of labels’, ‘label count times’ and ‘Time spent’. Action buttons include ‘Start Count’, ‘top Count’, ‘Empty List’, ‘Export List’. The stocktaking effect is shown in Figure 6:</w:t>
      </w:r>
    </w:p>
    <w:p>
      <w:pPr>
        <w:spacing w:line="360" w:lineRule="auto"/>
      </w:pPr>
      <w:r>
        <w:drawing>
          <wp:inline distT="0" distB="0" distL="0" distR="0">
            <wp:extent cx="4872355" cy="2822575"/>
            <wp:effectExtent l="0" t="0" r="4445" b="0"/>
            <wp:docPr id="131838391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8383912" name="图片 4"/>
                    <pic:cNvPicPr>
                      <a:picLocks noChangeAspect="1"/>
                    </pic:cNvPicPr>
                  </pic:nvPicPr>
                  <pic:blipFill>
                    <a:blip r:embed="rId10"/>
                    <a:stretch>
                      <a:fillRect/>
                    </a:stretch>
                  </pic:blipFill>
                  <pic:spPr>
                    <a:xfrm>
                      <a:off x="0" y="0"/>
                      <a:ext cx="4883861" cy="2829417"/>
                    </a:xfrm>
                    <a:prstGeom prst="rect">
                      <a:avLst/>
                    </a:prstGeom>
                  </pic:spPr>
                </pic:pic>
              </a:graphicData>
            </a:graphic>
          </wp:inline>
        </w:drawing>
      </w:r>
    </w:p>
    <w:p>
      <w:pPr>
        <w:spacing w:line="360" w:lineRule="auto"/>
        <w:ind w:left="2940" w:firstLine="720" w:firstLineChars="300"/>
        <w:rPr>
          <w:rFonts w:eastAsia="Times New Roman"/>
          <w:sz w:val="24"/>
          <w:szCs w:val="24"/>
        </w:rPr>
      </w:pPr>
      <w:r>
        <w:rPr>
          <w:rFonts w:eastAsia="Times New Roman"/>
          <w:sz w:val="24"/>
          <w:szCs w:val="24"/>
        </w:rPr>
        <w:t>Figure 6</w:t>
      </w:r>
    </w:p>
    <w:p>
      <w:pPr>
        <w:spacing w:line="360" w:lineRule="auto"/>
        <w:ind w:left="2940" w:firstLine="720" w:firstLineChars="300"/>
        <w:rPr>
          <w:rFonts w:eastAsia="Times New Roman"/>
          <w:sz w:val="24"/>
          <w:szCs w:val="24"/>
        </w:rPr>
      </w:pPr>
    </w:p>
    <w:p>
      <w:pPr>
        <w:pStyle w:val="23"/>
        <w:numPr>
          <w:ilvl w:val="0"/>
          <w:numId w:val="4"/>
        </w:numPr>
        <w:spacing w:line="360" w:lineRule="auto"/>
        <w:rPr>
          <w:kern w:val="0"/>
          <w:sz w:val="28"/>
          <w:szCs w:val="28"/>
        </w:rPr>
      </w:pPr>
      <w:r>
        <w:rPr>
          <w:rFonts w:eastAsia="Times New Roman"/>
          <w:kern w:val="0"/>
          <w:sz w:val="28"/>
          <w:szCs w:val="28"/>
        </w:rPr>
        <w:t xml:space="preserve">Tag </w:t>
      </w:r>
      <w:r>
        <w:rPr>
          <w:rFonts w:hint="eastAsia"/>
          <w:kern w:val="0"/>
          <w:sz w:val="28"/>
          <w:szCs w:val="28"/>
          <w:lang w:val="en-US" w:eastAsia="zh-CN"/>
        </w:rPr>
        <w:t>F</w:t>
      </w:r>
      <w:r>
        <w:rPr>
          <w:rFonts w:eastAsia="Times New Roman"/>
          <w:kern w:val="0"/>
          <w:sz w:val="28"/>
          <w:szCs w:val="28"/>
        </w:rPr>
        <w:t>iltering</w:t>
      </w:r>
    </w:p>
    <w:p>
      <w:pPr>
        <w:spacing w:line="360" w:lineRule="auto"/>
        <w:ind w:firstLine="420"/>
        <w:rPr>
          <w:kern w:val="0"/>
          <w:sz w:val="24"/>
          <w:szCs w:val="24"/>
        </w:rPr>
      </w:pPr>
      <w:r>
        <w:rPr>
          <w:rFonts w:eastAsia="Times New Roman"/>
          <w:kern w:val="0"/>
          <w:sz w:val="24"/>
          <w:szCs w:val="24"/>
        </w:rPr>
        <w:t>Click the ‘label Filter’ icon in the upper right corner, and the label parameter interface will appear at the bottom of the interface, as shown in Figure 7:</w:t>
      </w:r>
    </w:p>
    <w:p>
      <w:pPr>
        <w:spacing w:line="360" w:lineRule="auto"/>
        <w:ind w:firstLine="420"/>
      </w:pPr>
      <w:r>
        <w:drawing>
          <wp:inline distT="0" distB="0" distL="0" distR="0">
            <wp:extent cx="4934585" cy="2858770"/>
            <wp:effectExtent l="0" t="0" r="0" b="0"/>
            <wp:docPr id="9876163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61636" name="图片 5"/>
                    <pic:cNvPicPr>
                      <a:picLocks noChangeAspect="1"/>
                    </pic:cNvPicPr>
                  </pic:nvPicPr>
                  <pic:blipFill>
                    <a:blip r:embed="rId11"/>
                    <a:stretch>
                      <a:fillRect/>
                    </a:stretch>
                  </pic:blipFill>
                  <pic:spPr>
                    <a:xfrm>
                      <a:off x="0" y="0"/>
                      <a:ext cx="4940150" cy="2862028"/>
                    </a:xfrm>
                    <a:prstGeom prst="rect">
                      <a:avLst/>
                    </a:prstGeom>
                  </pic:spPr>
                </pic:pic>
              </a:graphicData>
            </a:graphic>
          </wp:inline>
        </w:drawing>
      </w:r>
    </w:p>
    <w:p>
      <w:pPr>
        <w:spacing w:line="360" w:lineRule="auto"/>
        <w:ind w:left="3780" w:firstLine="420"/>
        <w:rPr>
          <w:sz w:val="24"/>
          <w:szCs w:val="24"/>
        </w:rPr>
      </w:pPr>
      <w:r>
        <w:rPr>
          <w:rFonts w:eastAsia="Times New Roman"/>
          <w:sz w:val="24"/>
          <w:szCs w:val="24"/>
        </w:rPr>
        <w:t>Figure 7</w:t>
      </w:r>
    </w:p>
    <w:p>
      <w:pPr>
        <w:spacing w:line="360" w:lineRule="auto"/>
        <w:ind w:firstLine="480" w:firstLineChars="200"/>
        <w:rPr>
          <w:kern w:val="0"/>
          <w:sz w:val="24"/>
          <w:szCs w:val="24"/>
        </w:rPr>
      </w:pPr>
      <w:r>
        <w:rPr>
          <w:rFonts w:eastAsia="Times New Roman"/>
          <w:kern w:val="0"/>
          <w:sz w:val="24"/>
          <w:szCs w:val="24"/>
        </w:rPr>
        <w:t>Filtering bank supports EPC Bank, TID Bank and User Bank. Filtering rules are divided into match</w:t>
      </w:r>
      <w:r>
        <w:rPr>
          <w:kern w:val="0"/>
          <w:sz w:val="24"/>
          <w:szCs w:val="24"/>
        </w:rPr>
        <w:t>ed</w:t>
      </w:r>
      <w:r>
        <w:rPr>
          <w:rFonts w:eastAsia="Times New Roman"/>
          <w:kern w:val="0"/>
          <w:sz w:val="24"/>
          <w:szCs w:val="24"/>
        </w:rPr>
        <w:t xml:space="preserve"> and </w:t>
      </w:r>
      <w:r>
        <w:rPr>
          <w:kern w:val="0"/>
          <w:sz w:val="24"/>
          <w:szCs w:val="24"/>
        </w:rPr>
        <w:t>unmatched</w:t>
      </w:r>
      <w:r>
        <w:rPr>
          <w:rFonts w:eastAsia="Times New Roman"/>
          <w:kern w:val="0"/>
          <w:sz w:val="24"/>
          <w:szCs w:val="24"/>
        </w:rPr>
        <w:t>.</w:t>
      </w:r>
    </w:p>
    <w:p>
      <w:pPr>
        <w:spacing w:line="360" w:lineRule="auto"/>
        <w:rPr>
          <w:kern w:val="0"/>
          <w:sz w:val="24"/>
          <w:szCs w:val="24"/>
        </w:rPr>
      </w:pPr>
      <w:r>
        <w:rPr>
          <w:rFonts w:eastAsia="Times New Roman"/>
          <w:kern w:val="0"/>
          <w:sz w:val="24"/>
          <w:szCs w:val="24"/>
        </w:rPr>
        <w:t>The filtering format supports hexadecimal and binary. After select filter bank, filtering rule, start address and filter format will be filled by default, modify filter parameters according to business requirements. Finally, enter the filter mask and check the check box to enable the filtering function. Figure 8 shows the filtering demonstration:</w:t>
      </w:r>
    </w:p>
    <w:p>
      <w:pPr>
        <w:spacing w:line="360" w:lineRule="auto"/>
      </w:pPr>
      <w:r>
        <w:drawing>
          <wp:inline distT="0" distB="0" distL="0" distR="0">
            <wp:extent cx="4982845" cy="2701925"/>
            <wp:effectExtent l="0" t="0" r="8255" b="3175"/>
            <wp:docPr id="62541347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413474" name="图片 6"/>
                    <pic:cNvPicPr>
                      <a:picLocks noChangeAspect="1"/>
                    </pic:cNvPicPr>
                  </pic:nvPicPr>
                  <pic:blipFill>
                    <a:blip r:embed="rId12"/>
                    <a:stretch>
                      <a:fillRect/>
                    </a:stretch>
                  </pic:blipFill>
                  <pic:spPr>
                    <a:xfrm>
                      <a:off x="0" y="0"/>
                      <a:ext cx="4993784" cy="2707826"/>
                    </a:xfrm>
                    <a:prstGeom prst="rect">
                      <a:avLst/>
                    </a:prstGeom>
                  </pic:spPr>
                </pic:pic>
              </a:graphicData>
            </a:graphic>
          </wp:inline>
        </w:drawing>
      </w:r>
    </w:p>
    <w:p>
      <w:pPr>
        <w:spacing w:line="360" w:lineRule="auto"/>
        <w:ind w:left="2940" w:firstLine="420"/>
        <w:rPr>
          <w:sz w:val="24"/>
          <w:szCs w:val="24"/>
        </w:rPr>
      </w:pPr>
      <w:r>
        <w:rPr>
          <w:rFonts w:eastAsia="Times New Roman"/>
          <w:sz w:val="24"/>
          <w:szCs w:val="24"/>
        </w:rPr>
        <w:t>Figure 8</w:t>
      </w:r>
    </w:p>
    <w:p>
      <w:pPr>
        <w:spacing w:line="360" w:lineRule="auto"/>
        <w:outlineLvl w:val="1"/>
        <w:rPr>
          <w:kern w:val="0"/>
          <w:sz w:val="28"/>
          <w:szCs w:val="24"/>
        </w:rPr>
      </w:pPr>
      <w:bookmarkStart w:id="13" w:name="_Toc533689811"/>
      <w:bookmarkStart w:id="14" w:name="_Toc16893"/>
      <w:r>
        <w:rPr>
          <w:rFonts w:eastAsia="Times New Roman"/>
          <w:kern w:val="0"/>
          <w:sz w:val="28"/>
          <w:szCs w:val="24"/>
        </w:rPr>
        <w:t xml:space="preserve">3. Inventory </w:t>
      </w:r>
      <w:r>
        <w:rPr>
          <w:rFonts w:hint="eastAsia"/>
          <w:kern w:val="0"/>
          <w:sz w:val="28"/>
          <w:szCs w:val="24"/>
          <w:lang w:val="en-US" w:eastAsia="zh-CN"/>
        </w:rPr>
        <w:t>S</w:t>
      </w:r>
      <w:r>
        <w:rPr>
          <w:rFonts w:eastAsia="Times New Roman"/>
          <w:kern w:val="0"/>
          <w:sz w:val="28"/>
          <w:szCs w:val="24"/>
        </w:rPr>
        <w:t>tatistics</w:t>
      </w:r>
      <w:bookmarkEnd w:id="13"/>
      <w:bookmarkEnd w:id="14"/>
    </w:p>
    <w:p>
      <w:pPr>
        <w:spacing w:line="360" w:lineRule="auto"/>
        <w:ind w:firstLine="420"/>
        <w:rPr>
          <w:kern w:val="0"/>
          <w:sz w:val="24"/>
          <w:szCs w:val="24"/>
        </w:rPr>
      </w:pPr>
      <w:r>
        <w:rPr>
          <w:rFonts w:eastAsia="Times New Roman"/>
          <w:kern w:val="0"/>
          <w:sz w:val="24"/>
          <w:szCs w:val="24"/>
        </w:rPr>
        <w:t>After the reader counts, click the ‘count statistics’ icon in the upper right corner, and the count statistics interface will appear at the bottom of the interface, as shown in Figure 9. The corresponding numerical statistics can be displayed by moving the mouse to the graph.</w:t>
      </w:r>
    </w:p>
    <w:p>
      <w:pPr>
        <w:spacing w:line="360" w:lineRule="auto"/>
        <w:ind w:firstLine="420"/>
      </w:pPr>
      <w:r>
        <w:drawing>
          <wp:inline distT="0" distB="0" distL="0" distR="0">
            <wp:extent cx="4890135" cy="2587625"/>
            <wp:effectExtent l="0" t="0" r="5715" b="3175"/>
            <wp:docPr id="151558464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584647" name="图片 7"/>
                    <pic:cNvPicPr>
                      <a:picLocks noChangeAspect="1"/>
                    </pic:cNvPicPr>
                  </pic:nvPicPr>
                  <pic:blipFill>
                    <a:blip r:embed="rId13"/>
                    <a:stretch>
                      <a:fillRect/>
                    </a:stretch>
                  </pic:blipFill>
                  <pic:spPr>
                    <a:xfrm>
                      <a:off x="0" y="0"/>
                      <a:ext cx="4920676" cy="2604118"/>
                    </a:xfrm>
                    <a:prstGeom prst="rect">
                      <a:avLst/>
                    </a:prstGeom>
                  </pic:spPr>
                </pic:pic>
              </a:graphicData>
            </a:graphic>
          </wp:inline>
        </w:drawing>
      </w:r>
    </w:p>
    <w:p>
      <w:pPr>
        <w:spacing w:line="360" w:lineRule="auto"/>
        <w:ind w:left="3360" w:firstLine="630" w:firstLineChars="300"/>
      </w:pPr>
      <w:r>
        <w:rPr>
          <w:rFonts w:eastAsia="Times New Roman"/>
        </w:rPr>
        <w:t>Figure 9</w:t>
      </w:r>
    </w:p>
    <w:p>
      <w:pPr>
        <w:spacing w:line="360" w:lineRule="auto"/>
        <w:outlineLvl w:val="1"/>
        <w:rPr>
          <w:kern w:val="0"/>
          <w:sz w:val="28"/>
          <w:szCs w:val="24"/>
        </w:rPr>
      </w:pPr>
      <w:r>
        <w:rPr>
          <w:rFonts w:eastAsia="Times New Roman"/>
          <w:kern w:val="0"/>
          <w:sz w:val="28"/>
          <w:szCs w:val="24"/>
        </w:rPr>
        <w:t xml:space="preserve">4. Command </w:t>
      </w:r>
      <w:r>
        <w:rPr>
          <w:rFonts w:hint="eastAsia"/>
          <w:kern w:val="0"/>
          <w:sz w:val="28"/>
          <w:szCs w:val="24"/>
          <w:lang w:val="en-US" w:eastAsia="zh-CN"/>
        </w:rPr>
        <w:t>D</w:t>
      </w:r>
      <w:r>
        <w:rPr>
          <w:rFonts w:eastAsia="Times New Roman"/>
          <w:kern w:val="0"/>
          <w:sz w:val="28"/>
          <w:szCs w:val="24"/>
        </w:rPr>
        <w:t>ebugging</w:t>
      </w:r>
    </w:p>
    <w:p>
      <w:pPr>
        <w:spacing w:line="360" w:lineRule="auto"/>
        <w:ind w:left="420" w:firstLine="420"/>
        <w:outlineLvl w:val="1"/>
        <w:rPr>
          <w:kern w:val="0"/>
          <w:sz w:val="24"/>
          <w:szCs w:val="24"/>
        </w:rPr>
      </w:pPr>
      <w:r>
        <w:rPr>
          <w:rFonts w:eastAsia="Times New Roman"/>
          <w:kern w:val="0"/>
          <w:sz w:val="24"/>
          <w:szCs w:val="24"/>
        </w:rPr>
        <w:t>Command debugging is off by default. You can enable command debugging according to Figure 10. After the debugging of instructions is enabled, the setting instructions for readers are printed.</w:t>
      </w:r>
    </w:p>
    <w:p>
      <w:pPr>
        <w:spacing w:line="360" w:lineRule="auto"/>
        <w:ind w:left="420" w:firstLine="420"/>
        <w:outlineLvl w:val="1"/>
        <w:rPr>
          <w:kern w:val="0"/>
          <w:sz w:val="24"/>
          <w:szCs w:val="24"/>
        </w:rPr>
      </w:pPr>
      <w:r>
        <w:rPr>
          <w:kern w:val="0"/>
          <w:sz w:val="24"/>
          <w:szCs w:val="24"/>
        </w:rPr>
        <w:drawing>
          <wp:inline distT="0" distB="0" distL="0" distR="0">
            <wp:extent cx="4739640" cy="2725420"/>
            <wp:effectExtent l="0" t="0" r="3810" b="0"/>
            <wp:docPr id="194614035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140358" name="图片 8"/>
                    <pic:cNvPicPr>
                      <a:picLocks noChangeAspect="1"/>
                    </pic:cNvPicPr>
                  </pic:nvPicPr>
                  <pic:blipFill>
                    <a:blip r:embed="rId14"/>
                    <a:stretch>
                      <a:fillRect/>
                    </a:stretch>
                  </pic:blipFill>
                  <pic:spPr>
                    <a:xfrm>
                      <a:off x="0" y="0"/>
                      <a:ext cx="4850599" cy="2789528"/>
                    </a:xfrm>
                    <a:prstGeom prst="rect">
                      <a:avLst/>
                    </a:prstGeom>
                  </pic:spPr>
                </pic:pic>
              </a:graphicData>
            </a:graphic>
          </wp:inline>
        </w:drawing>
      </w:r>
    </w:p>
    <w:p>
      <w:pPr>
        <w:spacing w:line="360" w:lineRule="auto"/>
        <w:ind w:left="4200" w:firstLine="420"/>
        <w:outlineLvl w:val="1"/>
        <w:rPr>
          <w:kern w:val="0"/>
          <w:sz w:val="24"/>
          <w:szCs w:val="24"/>
        </w:rPr>
      </w:pPr>
      <w:r>
        <w:rPr>
          <w:rFonts w:eastAsia="Times New Roman"/>
          <w:kern w:val="0"/>
          <w:sz w:val="24"/>
          <w:szCs w:val="24"/>
        </w:rPr>
        <w:t>Figure 10</w:t>
      </w:r>
    </w:p>
    <w:p>
      <w:pPr>
        <w:pStyle w:val="23"/>
        <w:numPr>
          <w:ilvl w:val="0"/>
          <w:numId w:val="5"/>
        </w:numPr>
        <w:spacing w:line="360" w:lineRule="auto"/>
        <w:outlineLvl w:val="1"/>
        <w:rPr>
          <w:kern w:val="0"/>
          <w:sz w:val="28"/>
          <w:szCs w:val="24"/>
        </w:rPr>
      </w:pPr>
      <w:r>
        <w:rPr>
          <w:rFonts w:eastAsia="Times New Roman"/>
          <w:kern w:val="0"/>
          <w:sz w:val="28"/>
          <w:szCs w:val="24"/>
        </w:rPr>
        <w:t xml:space="preserve">Language </w:t>
      </w:r>
      <w:r>
        <w:rPr>
          <w:rFonts w:hint="eastAsia"/>
          <w:kern w:val="0"/>
          <w:sz w:val="28"/>
          <w:szCs w:val="24"/>
          <w:lang w:val="en-US" w:eastAsia="zh-CN"/>
        </w:rPr>
        <w:t>S</w:t>
      </w:r>
      <w:r>
        <w:rPr>
          <w:rFonts w:eastAsia="Times New Roman"/>
          <w:kern w:val="0"/>
          <w:sz w:val="28"/>
          <w:szCs w:val="24"/>
        </w:rPr>
        <w:t>witching</w:t>
      </w:r>
    </w:p>
    <w:p>
      <w:pPr>
        <w:spacing w:line="360" w:lineRule="auto"/>
        <w:outlineLvl w:val="1"/>
        <w:rPr>
          <w:rFonts w:eastAsia="Times New Roman"/>
          <w:kern w:val="0"/>
          <w:sz w:val="24"/>
          <w:szCs w:val="24"/>
        </w:rPr>
      </w:pPr>
      <w:r>
        <w:rPr>
          <w:rFonts w:eastAsia="Times New Roman"/>
          <w:kern w:val="0"/>
          <w:sz w:val="24"/>
          <w:szCs w:val="24"/>
        </w:rPr>
        <w:t xml:space="preserve">   </w:t>
      </w:r>
      <w:r>
        <w:rPr>
          <w:kern w:val="0"/>
          <w:sz w:val="24"/>
          <w:szCs w:val="24"/>
        </w:rPr>
        <w:t xml:space="preserve"> </w:t>
      </w:r>
      <w:r>
        <w:rPr>
          <w:rFonts w:eastAsia="Times New Roman"/>
          <w:kern w:val="0"/>
          <w:sz w:val="24"/>
          <w:szCs w:val="24"/>
        </w:rPr>
        <w:t>RFID Manager program comes with ‘Chinese’, ‘English’ two language package, the default is Chinese. You can also add the language package by yourself (the language package created by yourse</w:t>
      </w:r>
      <w:r>
        <w:rPr>
          <w:kern w:val="0"/>
          <w:sz w:val="24"/>
          <w:szCs w:val="24"/>
        </w:rPr>
        <w:t>l</w:t>
      </w:r>
      <w:r>
        <w:rPr>
          <w:rFonts w:eastAsia="Times New Roman"/>
          <w:kern w:val="0"/>
          <w:sz w:val="24"/>
          <w:szCs w:val="24"/>
        </w:rPr>
        <w:t>f needs to be created in accordance with the language package format of the program), put the language package created by yourself in the Lang file in the root directory of the RFID Manager program, and then restart the program. Click the icon to switch the language according to the instructions in Figure 11:</w:t>
      </w:r>
    </w:p>
    <w:p>
      <w:pPr>
        <w:spacing w:line="360" w:lineRule="auto"/>
        <w:outlineLvl w:val="1"/>
        <w:rPr>
          <w:kern w:val="0"/>
          <w:sz w:val="24"/>
          <w:szCs w:val="24"/>
        </w:rPr>
      </w:pPr>
      <w:r>
        <w:rPr>
          <w:kern w:val="0"/>
          <w:sz w:val="24"/>
          <w:szCs w:val="24"/>
        </w:rPr>
        <w:drawing>
          <wp:inline distT="0" distB="0" distL="0" distR="0">
            <wp:extent cx="5274310" cy="2933700"/>
            <wp:effectExtent l="0" t="0" r="2540" b="0"/>
            <wp:docPr id="166316133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161337" name="图片 9"/>
                    <pic:cNvPicPr>
                      <a:picLocks noChangeAspect="1"/>
                    </pic:cNvPicPr>
                  </pic:nvPicPr>
                  <pic:blipFill>
                    <a:blip r:embed="rId15"/>
                    <a:stretch>
                      <a:fillRect/>
                    </a:stretch>
                  </pic:blipFill>
                  <pic:spPr>
                    <a:xfrm>
                      <a:off x="0" y="0"/>
                      <a:ext cx="5277543" cy="2935980"/>
                    </a:xfrm>
                    <a:prstGeom prst="rect">
                      <a:avLst/>
                    </a:prstGeom>
                  </pic:spPr>
                </pic:pic>
              </a:graphicData>
            </a:graphic>
          </wp:inline>
        </w:drawing>
      </w:r>
    </w:p>
    <w:p>
      <w:pPr>
        <w:spacing w:line="360" w:lineRule="auto"/>
        <w:ind w:left="2940" w:firstLine="720" w:firstLineChars="300"/>
        <w:rPr>
          <w:sz w:val="24"/>
          <w:szCs w:val="24"/>
        </w:rPr>
      </w:pPr>
      <w:r>
        <w:rPr>
          <w:rFonts w:eastAsia="Times New Roman"/>
          <w:sz w:val="24"/>
          <w:szCs w:val="24"/>
        </w:rPr>
        <w:t>Figure 11</w:t>
      </w:r>
    </w:p>
    <w:p>
      <w:pPr>
        <w:pStyle w:val="23"/>
        <w:numPr>
          <w:ilvl w:val="0"/>
          <w:numId w:val="6"/>
        </w:numPr>
        <w:spacing w:line="360" w:lineRule="auto"/>
        <w:rPr>
          <w:sz w:val="32"/>
        </w:rPr>
      </w:pPr>
      <w:r>
        <w:rPr>
          <w:rFonts w:eastAsia="Times New Roman"/>
          <w:sz w:val="32"/>
        </w:rPr>
        <w:t>RFID Manager System Setup</w:t>
      </w:r>
    </w:p>
    <w:p>
      <w:pPr>
        <w:pStyle w:val="23"/>
        <w:numPr>
          <w:ilvl w:val="0"/>
          <w:numId w:val="7"/>
        </w:numPr>
        <w:spacing w:line="360" w:lineRule="auto"/>
        <w:outlineLvl w:val="1"/>
        <w:rPr>
          <w:kern w:val="0"/>
          <w:sz w:val="28"/>
          <w:szCs w:val="28"/>
        </w:rPr>
      </w:pPr>
      <w:r>
        <w:rPr>
          <w:rFonts w:eastAsia="Times New Roman"/>
          <w:kern w:val="0"/>
          <w:sz w:val="28"/>
          <w:szCs w:val="28"/>
        </w:rPr>
        <w:t>Antenna Setup</w:t>
      </w:r>
    </w:p>
    <w:p>
      <w:pPr>
        <w:spacing w:line="360" w:lineRule="auto"/>
        <w:outlineLvl w:val="1"/>
        <w:rPr>
          <w:kern w:val="0"/>
          <w:sz w:val="24"/>
          <w:szCs w:val="24"/>
        </w:rPr>
      </w:pPr>
      <w:r>
        <w:rPr>
          <w:rFonts w:eastAsia="Times New Roman"/>
          <w:kern w:val="0"/>
          <w:sz w:val="24"/>
          <w:szCs w:val="24"/>
        </w:rPr>
        <w:t xml:space="preserve">   </w:t>
      </w:r>
      <w:r>
        <w:rPr>
          <w:kern w:val="0"/>
          <w:sz w:val="24"/>
          <w:szCs w:val="24"/>
        </w:rPr>
        <w:t xml:space="preserve"> </w:t>
      </w:r>
      <w:r>
        <w:rPr>
          <w:rFonts w:eastAsia="Times New Roman"/>
          <w:kern w:val="0"/>
          <w:sz w:val="24"/>
          <w:szCs w:val="24"/>
        </w:rPr>
        <w:t>The antenna setup interface displays the appropriate antenna based on the connected reader device.</w:t>
      </w:r>
    </w:p>
    <w:p>
      <w:pPr>
        <w:pStyle w:val="23"/>
        <w:numPr>
          <w:ilvl w:val="0"/>
          <w:numId w:val="8"/>
        </w:numPr>
        <w:spacing w:line="360" w:lineRule="auto"/>
        <w:outlineLvl w:val="1"/>
        <w:rPr>
          <w:rFonts w:eastAsia="Times New Roman"/>
          <w:kern w:val="0"/>
          <w:sz w:val="24"/>
          <w:szCs w:val="24"/>
        </w:rPr>
      </w:pPr>
      <w:r>
        <w:rPr>
          <w:rFonts w:eastAsia="Times New Roman"/>
          <w:kern w:val="0"/>
          <w:sz w:val="28"/>
          <w:szCs w:val="28"/>
        </w:rPr>
        <w:t>Obtain</w:t>
      </w:r>
    </w:p>
    <w:p>
      <w:pPr>
        <w:spacing w:line="360" w:lineRule="auto"/>
        <w:outlineLvl w:val="1"/>
        <w:rPr>
          <w:kern w:val="0"/>
          <w:sz w:val="24"/>
          <w:szCs w:val="24"/>
        </w:rPr>
      </w:pPr>
      <w:r>
        <w:rPr>
          <w:rFonts w:eastAsia="Times New Roman"/>
          <w:kern w:val="0"/>
          <w:sz w:val="24"/>
          <w:szCs w:val="24"/>
        </w:rPr>
        <w:t xml:space="preserve">    Click the upper obtain button, prompt ‘Obtain parameters successfully’. Obtain parameters including antenna ‘read power’, ‘write power’, ‘connection status’.</w:t>
      </w:r>
    </w:p>
    <w:p>
      <w:pPr>
        <w:pStyle w:val="23"/>
        <w:numPr>
          <w:ilvl w:val="0"/>
          <w:numId w:val="8"/>
        </w:numPr>
        <w:spacing w:line="360" w:lineRule="auto"/>
        <w:outlineLvl w:val="1"/>
        <w:rPr>
          <w:rFonts w:eastAsia="Times New Roman"/>
          <w:kern w:val="0"/>
          <w:sz w:val="24"/>
          <w:szCs w:val="24"/>
        </w:rPr>
      </w:pPr>
      <w:r>
        <w:rPr>
          <w:rFonts w:eastAsia="Times New Roman"/>
          <w:kern w:val="0"/>
          <w:sz w:val="28"/>
          <w:szCs w:val="28"/>
        </w:rPr>
        <w:t>Set</w:t>
      </w:r>
    </w:p>
    <w:p>
      <w:pPr>
        <w:spacing w:line="360" w:lineRule="auto"/>
        <w:outlineLvl w:val="1"/>
        <w:rPr>
          <w:kern w:val="0"/>
          <w:sz w:val="24"/>
          <w:szCs w:val="24"/>
        </w:rPr>
      </w:pPr>
      <w:r>
        <w:rPr>
          <w:rFonts w:eastAsia="Times New Roman"/>
          <w:kern w:val="0"/>
          <w:sz w:val="24"/>
          <w:szCs w:val="24"/>
        </w:rPr>
        <w:t xml:space="preserve">    Double click the antenna ‘read power’, ‘write power’, power can be edited, or in the bottom of all Settings to modify the power of all antennas. Check Enable antenna and click the ‘Setting’ button at the top to prompt you to set the parameters successfully.</w:t>
      </w:r>
    </w:p>
    <w:p>
      <w:pPr>
        <w:pStyle w:val="23"/>
        <w:numPr>
          <w:ilvl w:val="0"/>
          <w:numId w:val="8"/>
        </w:numPr>
        <w:spacing w:line="360" w:lineRule="auto"/>
        <w:outlineLvl w:val="1"/>
        <w:rPr>
          <w:kern w:val="0"/>
          <w:sz w:val="24"/>
          <w:szCs w:val="24"/>
        </w:rPr>
      </w:pPr>
      <w:r>
        <w:rPr>
          <w:rFonts w:eastAsia="Times New Roman"/>
          <w:kern w:val="0"/>
          <w:sz w:val="28"/>
          <w:szCs w:val="28"/>
        </w:rPr>
        <w:t xml:space="preserve">Permanently </w:t>
      </w:r>
      <w:r>
        <w:rPr>
          <w:kern w:val="0"/>
          <w:sz w:val="28"/>
          <w:szCs w:val="28"/>
        </w:rPr>
        <w:t>S</w:t>
      </w:r>
      <w:r>
        <w:rPr>
          <w:rFonts w:eastAsia="Times New Roman"/>
          <w:kern w:val="0"/>
          <w:sz w:val="28"/>
          <w:szCs w:val="28"/>
        </w:rPr>
        <w:t>ave</w:t>
      </w:r>
    </w:p>
    <w:p>
      <w:pPr>
        <w:spacing w:line="360" w:lineRule="auto"/>
        <w:outlineLvl w:val="1"/>
        <w:rPr>
          <w:kern w:val="0"/>
          <w:sz w:val="24"/>
          <w:szCs w:val="24"/>
        </w:rPr>
      </w:pPr>
      <w:r>
        <w:rPr>
          <w:rFonts w:eastAsia="Times New Roman"/>
          <w:kern w:val="0"/>
          <w:sz w:val="24"/>
          <w:szCs w:val="24"/>
        </w:rPr>
        <w:t xml:space="preserve">    Can be permanently saved parameters are ‘read power’, ‘write power’. After saving successfully, the connection after the next power failure will be the permanently saved power. Refer to Figure 12.</w:t>
      </w:r>
    </w:p>
    <w:p>
      <w:pPr>
        <w:spacing w:line="360" w:lineRule="auto"/>
        <w:outlineLvl w:val="1"/>
        <w:rPr>
          <w:kern w:val="0"/>
          <w:sz w:val="24"/>
          <w:szCs w:val="24"/>
        </w:rPr>
      </w:pPr>
      <w:r>
        <w:rPr>
          <w:kern w:val="0"/>
          <w:sz w:val="24"/>
          <w:szCs w:val="24"/>
        </w:rPr>
        <w:drawing>
          <wp:inline distT="0" distB="0" distL="0" distR="0">
            <wp:extent cx="5274310" cy="3055620"/>
            <wp:effectExtent l="0" t="0" r="2540" b="0"/>
            <wp:docPr id="180808928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8089282" name="图片 10"/>
                    <pic:cNvPicPr>
                      <a:picLocks noChangeAspect="1"/>
                    </pic:cNvPicPr>
                  </pic:nvPicPr>
                  <pic:blipFill>
                    <a:blip r:embed="rId16"/>
                    <a:stretch>
                      <a:fillRect/>
                    </a:stretch>
                  </pic:blipFill>
                  <pic:spPr>
                    <a:xfrm>
                      <a:off x="0" y="0"/>
                      <a:ext cx="5274310" cy="3055620"/>
                    </a:xfrm>
                    <a:prstGeom prst="rect">
                      <a:avLst/>
                    </a:prstGeom>
                  </pic:spPr>
                </pic:pic>
              </a:graphicData>
            </a:graphic>
          </wp:inline>
        </w:drawing>
      </w:r>
    </w:p>
    <w:p>
      <w:pPr>
        <w:spacing w:line="360" w:lineRule="auto"/>
        <w:ind w:left="2940" w:firstLine="420"/>
        <w:outlineLvl w:val="1"/>
        <w:rPr>
          <w:rFonts w:eastAsia="Times New Roman"/>
          <w:kern w:val="0"/>
          <w:sz w:val="24"/>
          <w:szCs w:val="24"/>
        </w:rPr>
      </w:pPr>
      <w:r>
        <w:rPr>
          <w:rFonts w:eastAsia="Times New Roman"/>
          <w:kern w:val="0"/>
          <w:sz w:val="24"/>
          <w:szCs w:val="24"/>
        </w:rPr>
        <w:t>Figure 12</w:t>
      </w:r>
    </w:p>
    <w:p>
      <w:pPr>
        <w:spacing w:line="360" w:lineRule="auto"/>
        <w:ind w:left="2940" w:firstLine="420"/>
        <w:outlineLvl w:val="1"/>
        <w:rPr>
          <w:kern w:val="0"/>
          <w:sz w:val="24"/>
          <w:szCs w:val="24"/>
        </w:rPr>
      </w:pPr>
    </w:p>
    <w:p>
      <w:pPr>
        <w:pStyle w:val="23"/>
        <w:numPr>
          <w:ilvl w:val="0"/>
          <w:numId w:val="7"/>
        </w:numPr>
        <w:spacing w:line="360" w:lineRule="auto"/>
        <w:outlineLvl w:val="1"/>
        <w:rPr>
          <w:kern w:val="0"/>
          <w:sz w:val="28"/>
          <w:szCs w:val="28"/>
        </w:rPr>
      </w:pPr>
      <w:r>
        <w:rPr>
          <w:rFonts w:eastAsia="Times New Roman"/>
          <w:kern w:val="0"/>
          <w:sz w:val="28"/>
          <w:szCs w:val="28"/>
        </w:rPr>
        <w:t>Inventory Settings</w:t>
      </w:r>
    </w:p>
    <w:p>
      <w:pPr>
        <w:pStyle w:val="23"/>
        <w:numPr>
          <w:ilvl w:val="0"/>
          <w:numId w:val="9"/>
        </w:numPr>
        <w:spacing w:line="360" w:lineRule="auto"/>
        <w:rPr>
          <w:rFonts w:eastAsia="Times New Roman"/>
          <w:kern w:val="0"/>
          <w:sz w:val="24"/>
          <w:szCs w:val="24"/>
        </w:rPr>
      </w:pPr>
      <w:r>
        <w:rPr>
          <w:rFonts w:eastAsia="Times New Roman"/>
          <w:kern w:val="0"/>
          <w:sz w:val="28"/>
          <w:szCs w:val="28"/>
        </w:rPr>
        <w:t xml:space="preserve">Additional </w:t>
      </w:r>
      <w:r>
        <w:rPr>
          <w:kern w:val="0"/>
          <w:sz w:val="28"/>
          <w:szCs w:val="28"/>
        </w:rPr>
        <w:t>D</w:t>
      </w:r>
      <w:r>
        <w:rPr>
          <w:rFonts w:eastAsia="Times New Roman"/>
          <w:kern w:val="0"/>
          <w:sz w:val="28"/>
          <w:szCs w:val="28"/>
        </w:rPr>
        <w:t>ata</w:t>
      </w:r>
    </w:p>
    <w:p>
      <w:pPr>
        <w:spacing w:line="360" w:lineRule="auto"/>
        <w:rPr>
          <w:rFonts w:eastAsia="Times New Roman"/>
          <w:kern w:val="0"/>
          <w:sz w:val="24"/>
          <w:szCs w:val="24"/>
        </w:rPr>
      </w:pPr>
      <w:r>
        <w:rPr>
          <w:rFonts w:eastAsia="Times New Roman"/>
          <w:kern w:val="0"/>
          <w:sz w:val="24"/>
          <w:szCs w:val="24"/>
        </w:rPr>
        <w:t xml:space="preserve">    When it is necessary to read some data in a bank while taking inventory labels, you can select ‘Enable additional data’, which can read up to 64 bytes of data. The starting address is the address in the tag bank, in the unit of block, the effective value of byte number cannot be greater than 64. Banks can be divided into Reserve bank (reserved area), EPC bank (EPC area), TID bank (TID area), and User bank (user area).</w:t>
      </w:r>
    </w:p>
    <w:p>
      <w:pPr>
        <w:spacing w:line="360" w:lineRule="auto"/>
        <w:ind w:firstLine="420"/>
        <w:outlineLvl w:val="1"/>
        <w:rPr>
          <w:rFonts w:eastAsia="Times New Roman"/>
          <w:kern w:val="0"/>
          <w:sz w:val="24"/>
          <w:szCs w:val="24"/>
        </w:rPr>
      </w:pPr>
      <w:r>
        <w:rPr>
          <w:rFonts w:eastAsia="Times New Roman"/>
          <w:kern w:val="0"/>
          <w:sz w:val="24"/>
          <w:szCs w:val="24"/>
        </w:rPr>
        <w:t>If you need to read the data in the reserved area and the data being read is locked, you need to provide an access password to read the data correctly. If multiple labels have different access passwords, but only one access password can be entered here, only the data in the reserved area of the label with the correct password can be read. It should also be noted that for EPC area, TID area and USER area, no access password is required for the read operation. No matter whether it is locked or not, if an incorrect access password is provided, the data will not be read.</w:t>
      </w:r>
    </w:p>
    <w:p>
      <w:pPr>
        <w:pStyle w:val="23"/>
        <w:numPr>
          <w:ilvl w:val="0"/>
          <w:numId w:val="9"/>
        </w:numPr>
        <w:spacing w:line="360" w:lineRule="auto"/>
        <w:outlineLvl w:val="1"/>
        <w:rPr>
          <w:kern w:val="0"/>
          <w:sz w:val="24"/>
          <w:szCs w:val="24"/>
        </w:rPr>
      </w:pPr>
      <w:r>
        <w:rPr>
          <w:rFonts w:eastAsia="Times New Roman"/>
          <w:kern w:val="0"/>
          <w:sz w:val="28"/>
          <w:szCs w:val="28"/>
        </w:rPr>
        <w:t xml:space="preserve">Fast </w:t>
      </w:r>
      <w:r>
        <w:rPr>
          <w:kern w:val="0"/>
          <w:sz w:val="28"/>
          <w:szCs w:val="28"/>
        </w:rPr>
        <w:t>M</w:t>
      </w:r>
      <w:r>
        <w:rPr>
          <w:rFonts w:eastAsia="Times New Roman"/>
          <w:kern w:val="0"/>
          <w:sz w:val="28"/>
          <w:szCs w:val="28"/>
        </w:rPr>
        <w:t>ode</w:t>
      </w:r>
    </w:p>
    <w:p>
      <w:pPr>
        <w:spacing w:line="360" w:lineRule="auto"/>
        <w:ind w:firstLine="480" w:firstLineChars="200"/>
        <w:outlineLvl w:val="1"/>
        <w:rPr>
          <w:kern w:val="0"/>
          <w:sz w:val="24"/>
          <w:szCs w:val="24"/>
        </w:rPr>
      </w:pPr>
      <w:r>
        <w:rPr>
          <w:rFonts w:eastAsia="Times New Roman"/>
          <w:kern w:val="0"/>
          <w:sz w:val="24"/>
          <w:szCs w:val="24"/>
        </w:rPr>
        <w:t>Read period, and read interval only work in non-fast mode. Read period indicates how long the reader works at one time, and read interval indicates how long it takes to open the next time.</w:t>
      </w:r>
    </w:p>
    <w:p>
      <w:pPr>
        <w:spacing w:line="360" w:lineRule="auto"/>
        <w:ind w:firstLine="480" w:firstLineChars="200"/>
        <w:outlineLvl w:val="1"/>
        <w:rPr>
          <w:kern w:val="0"/>
          <w:sz w:val="24"/>
          <w:szCs w:val="24"/>
        </w:rPr>
      </w:pPr>
      <w:r>
        <w:rPr>
          <w:rFonts w:eastAsia="Times New Roman"/>
          <w:kern w:val="0"/>
          <w:sz w:val="24"/>
          <w:szCs w:val="24"/>
        </w:rPr>
        <w:t>Fast mode is divided into ‘fast mode – Standard’, ‘fast mode - distance priority’, ‘fast mode - read times priority’. When selecting the fast mode standard, you can match the common parameters of inventory by yourself, and the latter cannot be modified.</w:t>
      </w:r>
    </w:p>
    <w:p>
      <w:pPr>
        <w:pStyle w:val="23"/>
        <w:numPr>
          <w:ilvl w:val="0"/>
          <w:numId w:val="9"/>
        </w:numPr>
        <w:spacing w:line="360" w:lineRule="auto"/>
        <w:outlineLvl w:val="1"/>
        <w:rPr>
          <w:kern w:val="0"/>
          <w:sz w:val="24"/>
          <w:szCs w:val="24"/>
        </w:rPr>
      </w:pPr>
      <w:r>
        <w:rPr>
          <w:rFonts w:eastAsia="Times New Roman"/>
          <w:kern w:val="0"/>
          <w:sz w:val="28"/>
          <w:szCs w:val="28"/>
        </w:rPr>
        <w:t xml:space="preserve">Inventory Common </w:t>
      </w:r>
      <w:r>
        <w:rPr>
          <w:kern w:val="0"/>
          <w:sz w:val="28"/>
          <w:szCs w:val="28"/>
        </w:rPr>
        <w:t>P</w:t>
      </w:r>
      <w:r>
        <w:rPr>
          <w:rFonts w:eastAsia="Times New Roman"/>
          <w:kern w:val="0"/>
          <w:sz w:val="28"/>
          <w:szCs w:val="28"/>
        </w:rPr>
        <w:t>arameters</w:t>
      </w:r>
    </w:p>
    <w:p>
      <w:pPr>
        <w:spacing w:line="360" w:lineRule="auto"/>
        <w:ind w:firstLine="480" w:firstLineChars="200"/>
        <w:outlineLvl w:val="1"/>
        <w:rPr>
          <w:kern w:val="0"/>
          <w:sz w:val="24"/>
          <w:szCs w:val="24"/>
        </w:rPr>
      </w:pPr>
      <w:r>
        <w:rPr>
          <w:rFonts w:eastAsia="Times New Roman"/>
          <w:kern w:val="0"/>
          <w:sz w:val="24"/>
          <w:szCs w:val="24"/>
        </w:rPr>
        <w:t xml:space="preserve">Common parameters are Gen2 protocol parameters, including Gen2 Session, Profile, Gen2 Target, Gen2 Q Value. </w:t>
      </w:r>
      <w:r>
        <w:rPr>
          <w:rFonts w:eastAsia="Times New Roman"/>
          <w:kern w:val="0"/>
          <w:sz w:val="24"/>
          <w:szCs w:val="21"/>
          <w:highlight w:val="yellow"/>
        </w:rPr>
        <w:t>The Permanent Save button in the inventory setting can only save the above four parameters.</w:t>
      </w:r>
    </w:p>
    <w:p>
      <w:pPr>
        <w:pStyle w:val="23"/>
        <w:numPr>
          <w:ilvl w:val="0"/>
          <w:numId w:val="9"/>
        </w:numPr>
        <w:spacing w:line="360" w:lineRule="auto"/>
        <w:rPr>
          <w:kern w:val="0"/>
          <w:sz w:val="24"/>
          <w:szCs w:val="24"/>
        </w:rPr>
      </w:pPr>
      <w:r>
        <w:rPr>
          <w:rFonts w:eastAsia="Times New Roman"/>
          <w:kern w:val="0"/>
          <w:sz w:val="28"/>
          <w:szCs w:val="28"/>
        </w:rPr>
        <w:t xml:space="preserve">Automatically </w:t>
      </w:r>
      <w:r>
        <w:rPr>
          <w:kern w:val="0"/>
          <w:sz w:val="28"/>
          <w:szCs w:val="28"/>
        </w:rPr>
        <w:t>S</w:t>
      </w:r>
      <w:r>
        <w:rPr>
          <w:rFonts w:eastAsia="Times New Roman"/>
          <w:kern w:val="0"/>
          <w:sz w:val="28"/>
          <w:szCs w:val="28"/>
        </w:rPr>
        <w:t xml:space="preserve">top </w:t>
      </w:r>
      <w:r>
        <w:rPr>
          <w:kern w:val="0"/>
          <w:sz w:val="28"/>
          <w:szCs w:val="28"/>
        </w:rPr>
        <w:t>C</w:t>
      </w:r>
      <w:r>
        <w:rPr>
          <w:rFonts w:eastAsia="Times New Roman"/>
          <w:kern w:val="0"/>
          <w:sz w:val="28"/>
          <w:szCs w:val="28"/>
        </w:rPr>
        <w:t>ounting</w:t>
      </w:r>
    </w:p>
    <w:p>
      <w:pPr>
        <w:spacing w:line="360" w:lineRule="auto"/>
        <w:outlineLvl w:val="1"/>
        <w:rPr>
          <w:kern w:val="0"/>
          <w:sz w:val="24"/>
          <w:szCs w:val="24"/>
        </w:rPr>
      </w:pPr>
      <w:r>
        <w:rPr>
          <w:rFonts w:eastAsia="Times New Roman"/>
          <w:kern w:val="0"/>
          <w:sz w:val="28"/>
          <w:szCs w:val="28"/>
        </w:rPr>
        <w:t xml:space="preserve">    </w:t>
      </w:r>
      <w:r>
        <w:rPr>
          <w:rFonts w:eastAsia="Times New Roman"/>
          <w:kern w:val="0"/>
          <w:sz w:val="24"/>
          <w:szCs w:val="24"/>
        </w:rPr>
        <w:t>Enable automatic stop counting, after the counting interface reaches the specified conditions will automatically stop counting.</w:t>
      </w:r>
    </w:p>
    <w:p>
      <w:pPr>
        <w:spacing w:line="360" w:lineRule="auto"/>
        <w:outlineLvl w:val="1"/>
        <w:rPr>
          <w:kern w:val="0"/>
          <w:sz w:val="24"/>
          <w:szCs w:val="21"/>
          <w:highlight w:val="yellow"/>
        </w:rPr>
      </w:pPr>
      <w:r>
        <w:rPr>
          <w:rFonts w:eastAsia="Times New Roman"/>
          <w:kern w:val="0"/>
          <w:sz w:val="24"/>
          <w:szCs w:val="21"/>
          <w:highlight w:val="yellow"/>
        </w:rPr>
        <w:t>Note: After modifying the parameters in the inventory setting, you need to click the "Setting" button above, otherwise the setting cannot take effect.</w:t>
      </w:r>
    </w:p>
    <w:p>
      <w:pPr>
        <w:spacing w:line="360" w:lineRule="auto"/>
        <w:outlineLvl w:val="1"/>
        <w:rPr>
          <w:kern w:val="0"/>
          <w:sz w:val="28"/>
          <w:szCs w:val="28"/>
        </w:rPr>
      </w:pPr>
      <w:bookmarkStart w:id="15" w:name="_Toc533689818"/>
      <w:bookmarkStart w:id="16" w:name="_Toc1859"/>
      <w:r>
        <w:rPr>
          <w:rFonts w:eastAsia="Times New Roman"/>
          <w:kern w:val="0"/>
          <w:sz w:val="28"/>
          <w:szCs w:val="28"/>
        </w:rPr>
        <w:t>3. Network Settings</w:t>
      </w:r>
      <w:bookmarkEnd w:id="15"/>
      <w:bookmarkEnd w:id="16"/>
    </w:p>
    <w:p>
      <w:pPr>
        <w:spacing w:line="360" w:lineRule="auto"/>
        <w:ind w:firstLine="420"/>
        <w:outlineLvl w:val="1"/>
        <w:rPr>
          <w:kern w:val="0"/>
          <w:sz w:val="24"/>
          <w:szCs w:val="24"/>
        </w:rPr>
      </w:pPr>
      <w:r>
        <w:rPr>
          <w:rFonts w:eastAsia="Times New Roman"/>
          <w:kern w:val="0"/>
          <w:sz w:val="24"/>
          <w:szCs w:val="24"/>
        </w:rPr>
        <w:t>The IP Settings bar is mainly used to change the IP address, subnet mask, and gateway of the device. Note that the IP address, subnet mask, and gateway must correspond to each other when setting the IP address. Otherwise, the IP address cannot be set. After saving the IP Settings, the reader will restart and you will need to reconnect the reader (the connection address is the changed Ip).</w:t>
      </w:r>
    </w:p>
    <w:p>
      <w:pPr>
        <w:spacing w:line="360" w:lineRule="auto"/>
        <w:outlineLvl w:val="1"/>
        <w:rPr>
          <w:kern w:val="0"/>
          <w:sz w:val="24"/>
          <w:szCs w:val="24"/>
        </w:rPr>
      </w:pPr>
      <w:r>
        <w:rPr>
          <w:rFonts w:eastAsia="Times New Roman"/>
          <w:kern w:val="0"/>
          <w:sz w:val="28"/>
          <w:szCs w:val="28"/>
        </w:rPr>
        <w:t>4. Advanced Settings</w:t>
      </w:r>
    </w:p>
    <w:p>
      <w:pPr>
        <w:spacing w:line="360" w:lineRule="auto"/>
        <w:outlineLvl w:val="1"/>
        <w:rPr>
          <w:kern w:val="0"/>
          <w:sz w:val="24"/>
          <w:szCs w:val="24"/>
        </w:rPr>
      </w:pPr>
      <w:r>
        <w:rPr>
          <w:rFonts w:eastAsia="Times New Roman"/>
          <w:kern w:val="0"/>
          <w:sz w:val="28"/>
          <w:szCs w:val="28"/>
        </w:rPr>
        <w:t xml:space="preserve">(1) Special </w:t>
      </w:r>
      <w:r>
        <w:rPr>
          <w:kern w:val="0"/>
          <w:sz w:val="28"/>
          <w:szCs w:val="28"/>
        </w:rPr>
        <w:t>P</w:t>
      </w:r>
      <w:r>
        <w:rPr>
          <w:rFonts w:eastAsia="Times New Roman"/>
          <w:kern w:val="0"/>
          <w:sz w:val="28"/>
          <w:szCs w:val="28"/>
        </w:rPr>
        <w:t>arameters</w:t>
      </w:r>
    </w:p>
    <w:p>
      <w:pPr>
        <w:spacing w:line="360" w:lineRule="auto"/>
        <w:ind w:firstLine="480" w:firstLineChars="200"/>
        <w:outlineLvl w:val="1"/>
        <w:rPr>
          <w:rFonts w:eastAsia="Times New Roman"/>
          <w:kern w:val="0"/>
          <w:sz w:val="24"/>
          <w:szCs w:val="24"/>
        </w:rPr>
      </w:pPr>
      <w:r>
        <w:rPr>
          <w:rFonts w:eastAsia="Times New Roman"/>
          <w:kern w:val="0"/>
          <w:sz w:val="24"/>
          <w:szCs w:val="24"/>
        </w:rPr>
        <w:t>Frequency hopping mode: only valid in R2000 module device, this parameter is invalid under E series.</w:t>
      </w:r>
    </w:p>
    <w:p>
      <w:pPr>
        <w:spacing w:line="360" w:lineRule="auto"/>
        <w:ind w:firstLine="480" w:firstLineChars="200"/>
        <w:outlineLvl w:val="1"/>
        <w:rPr>
          <w:rFonts w:eastAsia="Times New Roman"/>
          <w:kern w:val="0"/>
          <w:sz w:val="24"/>
          <w:szCs w:val="24"/>
        </w:rPr>
      </w:pPr>
      <w:r>
        <w:rPr>
          <w:rFonts w:eastAsia="Times New Roman"/>
          <w:kern w:val="0"/>
          <w:sz w:val="24"/>
          <w:szCs w:val="24"/>
        </w:rPr>
        <w:t>Antenna dwell time: The maximum working time of a single antenna (ms). In fast mode, if the antenna does not read the label, it will immediately switch to the next antenna. In non-fast mode, the antenna will work up to the maximum time and then switch.</w:t>
      </w:r>
    </w:p>
    <w:p>
      <w:pPr>
        <w:spacing w:line="360" w:lineRule="auto"/>
        <w:ind w:firstLine="480" w:firstLineChars="200"/>
        <w:outlineLvl w:val="1"/>
        <w:rPr>
          <w:rFonts w:eastAsia="Times New Roman"/>
          <w:kern w:val="0"/>
          <w:sz w:val="24"/>
          <w:szCs w:val="24"/>
        </w:rPr>
      </w:pPr>
      <w:r>
        <w:rPr>
          <w:rFonts w:eastAsia="Times New Roman"/>
          <w:kern w:val="0"/>
          <w:sz w:val="24"/>
          <w:szCs w:val="24"/>
        </w:rPr>
        <w:t>Gen2 Write mode: The program provides two modes of ‘word write’ and ‘block write’, the default is ‘word write’ mode, some early labels do not support ‘word write’, you need to manually change the write mode to ‘block write’.</w:t>
      </w:r>
    </w:p>
    <w:p>
      <w:pPr>
        <w:spacing w:line="360" w:lineRule="auto"/>
        <w:outlineLvl w:val="1"/>
        <w:rPr>
          <w:kern w:val="0"/>
          <w:sz w:val="28"/>
          <w:szCs w:val="28"/>
        </w:rPr>
      </w:pPr>
      <w:r>
        <w:rPr>
          <w:rFonts w:eastAsia="Times New Roman"/>
          <w:kern w:val="0"/>
          <w:sz w:val="28"/>
          <w:szCs w:val="28"/>
        </w:rPr>
        <w:t xml:space="preserve">(2) Label </w:t>
      </w:r>
      <w:r>
        <w:rPr>
          <w:kern w:val="0"/>
          <w:sz w:val="28"/>
          <w:szCs w:val="28"/>
        </w:rPr>
        <w:t>D</w:t>
      </w:r>
      <w:r>
        <w:rPr>
          <w:rFonts w:eastAsia="Times New Roman"/>
          <w:kern w:val="0"/>
          <w:sz w:val="28"/>
          <w:szCs w:val="28"/>
        </w:rPr>
        <w:t xml:space="preserve">ata </w:t>
      </w:r>
      <w:r>
        <w:rPr>
          <w:kern w:val="0"/>
          <w:sz w:val="28"/>
          <w:szCs w:val="28"/>
        </w:rPr>
        <w:t>C</w:t>
      </w:r>
      <w:r>
        <w:rPr>
          <w:rFonts w:eastAsia="Times New Roman"/>
          <w:kern w:val="0"/>
          <w:sz w:val="28"/>
          <w:szCs w:val="28"/>
        </w:rPr>
        <w:t>ache Settings</w:t>
      </w:r>
    </w:p>
    <w:p>
      <w:pPr>
        <w:spacing w:line="360" w:lineRule="auto"/>
        <w:ind w:firstLine="480" w:firstLineChars="200"/>
        <w:outlineLvl w:val="1"/>
        <w:rPr>
          <w:kern w:val="0"/>
          <w:sz w:val="24"/>
          <w:szCs w:val="24"/>
        </w:rPr>
      </w:pPr>
      <w:r>
        <w:rPr>
          <w:rFonts w:eastAsia="Times New Roman"/>
          <w:kern w:val="0"/>
          <w:sz w:val="24"/>
          <w:szCs w:val="24"/>
        </w:rPr>
        <w:t>In the daily inventory process, when encountering labels of EPC system, the program provides three methods: ‘antenna number as unique identification’, ‘Bank data as unique identification’, and ‘record maximum RSSI’ in order to distinguish labels. The default is ‘Bank data as unique identification’, and multiple options are available.</w:t>
      </w:r>
    </w:p>
    <w:p>
      <w:pPr>
        <w:spacing w:line="360" w:lineRule="auto"/>
        <w:outlineLvl w:val="1"/>
        <w:rPr>
          <w:kern w:val="0"/>
          <w:sz w:val="28"/>
          <w:szCs w:val="28"/>
        </w:rPr>
      </w:pPr>
      <w:r>
        <w:rPr>
          <w:rFonts w:eastAsia="Times New Roman"/>
          <w:kern w:val="0"/>
          <w:sz w:val="28"/>
          <w:szCs w:val="28"/>
        </w:rPr>
        <w:t xml:space="preserve">(3) Frequency </w:t>
      </w:r>
      <w:r>
        <w:rPr>
          <w:kern w:val="0"/>
          <w:sz w:val="28"/>
          <w:szCs w:val="28"/>
        </w:rPr>
        <w:t>C</w:t>
      </w:r>
      <w:r>
        <w:rPr>
          <w:rFonts w:eastAsia="Times New Roman"/>
          <w:kern w:val="0"/>
          <w:sz w:val="28"/>
          <w:szCs w:val="28"/>
        </w:rPr>
        <w:t xml:space="preserve">ontrol </w:t>
      </w:r>
      <w:r>
        <w:rPr>
          <w:kern w:val="0"/>
          <w:sz w:val="28"/>
          <w:szCs w:val="28"/>
        </w:rPr>
        <w:t>R</w:t>
      </w:r>
      <w:r>
        <w:rPr>
          <w:rFonts w:eastAsia="Times New Roman"/>
          <w:kern w:val="0"/>
          <w:sz w:val="28"/>
          <w:szCs w:val="28"/>
        </w:rPr>
        <w:t>ules</w:t>
      </w:r>
    </w:p>
    <w:p>
      <w:pPr>
        <w:spacing w:line="360" w:lineRule="auto"/>
        <w:rPr>
          <w:kern w:val="0"/>
          <w:sz w:val="24"/>
          <w:szCs w:val="24"/>
        </w:rPr>
      </w:pPr>
      <w:r>
        <w:rPr>
          <w:rFonts w:eastAsia="Times New Roman"/>
          <w:kern w:val="0"/>
          <w:sz w:val="24"/>
          <w:szCs w:val="24"/>
        </w:rPr>
        <w:t xml:space="preserve">     Due to the different frequency band control rules of different countries and regions in the world, in order to match the frequency band of the reader, it is necessary to select the appropriate frequency band. In the regional setting, different regions can be set, such as North America, Japan, Europe, China, etc. Click ‘Get’ first to get the current region setting. Select the region and click ‘Settings’ to complete the selection of the frequency band. In the frequency modulation table, click ‘Get’ to display the current selected frequency point, or you can change the selected frequency point. Click ‘Set’ to complete the selection of frequency point. </w:t>
      </w:r>
      <w:r>
        <w:rPr>
          <w:rFonts w:eastAsia="Times New Roman"/>
          <w:kern w:val="0"/>
          <w:sz w:val="24"/>
          <w:szCs w:val="21"/>
          <w:highlight w:val="yellow"/>
        </w:rPr>
        <w:t>Regions and frequency points can be ‘permanently saved</w:t>
      </w:r>
      <w:r>
        <w:rPr>
          <w:rFonts w:eastAsia="Times New Roman"/>
          <w:kern w:val="0"/>
          <w:sz w:val="24"/>
          <w:szCs w:val="21"/>
        </w:rPr>
        <w:t>’</w:t>
      </w:r>
    </w:p>
    <w:p>
      <w:pPr>
        <w:spacing w:line="360" w:lineRule="auto"/>
        <w:outlineLvl w:val="1"/>
        <w:rPr>
          <w:kern w:val="0"/>
          <w:sz w:val="24"/>
          <w:szCs w:val="24"/>
        </w:rPr>
      </w:pPr>
      <w:bookmarkStart w:id="17" w:name="_Toc784"/>
      <w:bookmarkStart w:id="18" w:name="_Toc533689817"/>
      <w:r>
        <w:rPr>
          <w:rFonts w:eastAsia="微软雅黑"/>
          <w:sz w:val="32"/>
        </w:rPr>
        <w:t>Ⅳ</w:t>
      </w:r>
      <w:r>
        <w:rPr>
          <w:sz w:val="32"/>
        </w:rPr>
        <w:t>.</w:t>
      </w:r>
      <w:r>
        <w:rPr>
          <w:rFonts w:eastAsia="Times New Roman"/>
          <w:sz w:val="32"/>
        </w:rPr>
        <w:t xml:space="preserve"> Tag </w:t>
      </w:r>
      <w:r>
        <w:rPr>
          <w:rFonts w:hint="eastAsia"/>
          <w:sz w:val="32"/>
          <w:lang w:val="en-US" w:eastAsia="zh-CN"/>
        </w:rPr>
        <w:t>O</w:t>
      </w:r>
      <w:r>
        <w:rPr>
          <w:rFonts w:eastAsia="Times New Roman"/>
          <w:sz w:val="32"/>
        </w:rPr>
        <w:t>peration</w:t>
      </w:r>
      <w:bookmarkEnd w:id="17"/>
      <w:bookmarkEnd w:id="18"/>
    </w:p>
    <w:p>
      <w:pPr>
        <w:ind w:firstLine="420"/>
        <w:outlineLvl w:val="0"/>
        <w:rPr>
          <w:kern w:val="0"/>
          <w:sz w:val="24"/>
          <w:szCs w:val="24"/>
        </w:rPr>
      </w:pPr>
      <w:r>
        <w:rPr>
          <w:rFonts w:eastAsia="Times New Roman"/>
          <w:kern w:val="0"/>
          <w:sz w:val="24"/>
          <w:szCs w:val="24"/>
        </w:rPr>
        <w:t>Tag operation supports ‘read bank’, ‘write bank’, ‘write EPC’, ‘lock tag’, ‘destroy tag’ five operations.</w:t>
      </w:r>
    </w:p>
    <w:p>
      <w:pPr>
        <w:pStyle w:val="23"/>
        <w:numPr>
          <w:ilvl w:val="0"/>
          <w:numId w:val="10"/>
        </w:numPr>
        <w:spacing w:line="360" w:lineRule="auto"/>
        <w:outlineLvl w:val="1"/>
        <w:rPr>
          <w:kern w:val="0"/>
          <w:sz w:val="28"/>
          <w:szCs w:val="24"/>
        </w:rPr>
      </w:pPr>
      <w:r>
        <w:rPr>
          <w:rFonts w:eastAsia="Times New Roman"/>
          <w:kern w:val="0"/>
          <w:sz w:val="28"/>
          <w:szCs w:val="24"/>
        </w:rPr>
        <w:t>Tag Reading</w:t>
      </w:r>
    </w:p>
    <w:p>
      <w:pPr>
        <w:ind w:firstLine="420"/>
        <w:outlineLvl w:val="0"/>
        <w:rPr>
          <w:kern w:val="0"/>
          <w:sz w:val="24"/>
          <w:szCs w:val="24"/>
        </w:rPr>
      </w:pPr>
      <w:r>
        <w:rPr>
          <w:kern w:val="0"/>
          <w:sz w:val="24"/>
          <w:szCs w:val="24"/>
        </w:rPr>
        <w:drawing>
          <wp:inline distT="0" distB="0" distL="0" distR="0">
            <wp:extent cx="5274310" cy="3055620"/>
            <wp:effectExtent l="0" t="0" r="2540" b="0"/>
            <wp:docPr id="185844918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8449184" name="图片 11"/>
                    <pic:cNvPicPr>
                      <a:picLocks noChangeAspect="1"/>
                    </pic:cNvPicPr>
                  </pic:nvPicPr>
                  <pic:blipFill>
                    <a:blip r:embed="rId17"/>
                    <a:stretch>
                      <a:fillRect/>
                    </a:stretch>
                  </pic:blipFill>
                  <pic:spPr>
                    <a:xfrm>
                      <a:off x="0" y="0"/>
                      <a:ext cx="5274310" cy="3055620"/>
                    </a:xfrm>
                    <a:prstGeom prst="rect">
                      <a:avLst/>
                    </a:prstGeom>
                  </pic:spPr>
                </pic:pic>
              </a:graphicData>
            </a:graphic>
          </wp:inline>
        </w:drawing>
      </w:r>
    </w:p>
    <w:p>
      <w:pPr>
        <w:spacing w:line="360" w:lineRule="auto"/>
        <w:ind w:firstLine="480" w:firstLineChars="200"/>
        <w:rPr>
          <w:kern w:val="0"/>
          <w:sz w:val="24"/>
          <w:szCs w:val="24"/>
        </w:rPr>
      </w:pPr>
      <w:r>
        <w:rPr>
          <w:rFonts w:eastAsia="Times New Roman"/>
          <w:kern w:val="0"/>
          <w:sz w:val="24"/>
          <w:szCs w:val="24"/>
        </w:rPr>
        <w:t>In the above example, select ‘Read Bank’ in the operation type of operating common parameters, then select the antenna to read the tag. Read and write operation parameters Select the bank to be read, enter the start address and number of read blocks, and finally click ‘Execute’ in the upper right corner. After successful reading, the tag information will be displayed in the operation result below.</w:t>
      </w:r>
    </w:p>
    <w:p>
      <w:pPr>
        <w:spacing w:line="360" w:lineRule="auto"/>
        <w:ind w:firstLine="480" w:firstLineChars="200"/>
        <w:rPr>
          <w:kern w:val="0"/>
          <w:sz w:val="24"/>
          <w:szCs w:val="24"/>
        </w:rPr>
      </w:pPr>
      <w:r>
        <w:rPr>
          <w:rFonts w:eastAsia="Times New Roman"/>
          <w:kern w:val="0"/>
          <w:sz w:val="24"/>
          <w:szCs w:val="24"/>
        </w:rPr>
        <w:t>If you want to read the reserve bank and the tag is locked, you need to enter the access password to read the reserve bank.</w:t>
      </w:r>
    </w:p>
    <w:p>
      <w:pPr>
        <w:pStyle w:val="23"/>
        <w:numPr>
          <w:ilvl w:val="0"/>
          <w:numId w:val="10"/>
        </w:numPr>
        <w:spacing w:line="360" w:lineRule="auto"/>
        <w:outlineLvl w:val="1"/>
        <w:rPr>
          <w:kern w:val="0"/>
          <w:sz w:val="28"/>
          <w:szCs w:val="28"/>
        </w:rPr>
      </w:pPr>
      <w:r>
        <w:rPr>
          <w:kern w:val="0"/>
          <w:sz w:val="28"/>
          <w:szCs w:val="24"/>
        </w:rPr>
        <w:t>T</w:t>
      </w:r>
      <w:r>
        <w:rPr>
          <w:rFonts w:eastAsia="Times New Roman"/>
          <w:kern w:val="0"/>
          <w:sz w:val="28"/>
          <w:szCs w:val="24"/>
        </w:rPr>
        <w:t>ag</w:t>
      </w:r>
      <w:r>
        <w:rPr>
          <w:kern w:val="0"/>
          <w:sz w:val="28"/>
          <w:szCs w:val="24"/>
        </w:rPr>
        <w:t xml:space="preserve"> </w:t>
      </w:r>
      <w:r>
        <w:rPr>
          <w:rFonts w:hint="eastAsia"/>
          <w:kern w:val="0"/>
          <w:sz w:val="28"/>
          <w:szCs w:val="24"/>
          <w:lang w:val="en-US" w:eastAsia="zh-CN"/>
        </w:rPr>
        <w:t>W</w:t>
      </w:r>
      <w:r>
        <w:rPr>
          <w:kern w:val="0"/>
          <w:sz w:val="28"/>
          <w:szCs w:val="24"/>
        </w:rPr>
        <w:t>riting</w:t>
      </w:r>
    </w:p>
    <w:p>
      <w:pPr>
        <w:spacing w:line="360" w:lineRule="auto"/>
        <w:ind w:firstLine="420"/>
        <w:outlineLvl w:val="1"/>
        <w:rPr>
          <w:kern w:val="0"/>
          <w:sz w:val="28"/>
          <w:szCs w:val="28"/>
        </w:rPr>
      </w:pPr>
      <w:r>
        <w:rPr>
          <w:kern w:val="0"/>
          <w:sz w:val="28"/>
          <w:szCs w:val="28"/>
        </w:rPr>
        <w:drawing>
          <wp:inline distT="0" distB="0" distL="0" distR="0">
            <wp:extent cx="5274310" cy="3055620"/>
            <wp:effectExtent l="0" t="0" r="2540" b="0"/>
            <wp:docPr id="131948852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9488520" name="图片 12"/>
                    <pic:cNvPicPr>
                      <a:picLocks noChangeAspect="1"/>
                    </pic:cNvPicPr>
                  </pic:nvPicPr>
                  <pic:blipFill>
                    <a:blip r:embed="rId18"/>
                    <a:stretch>
                      <a:fillRect/>
                    </a:stretch>
                  </pic:blipFill>
                  <pic:spPr>
                    <a:xfrm>
                      <a:off x="0" y="0"/>
                      <a:ext cx="5274310" cy="3055620"/>
                    </a:xfrm>
                    <a:prstGeom prst="rect">
                      <a:avLst/>
                    </a:prstGeom>
                  </pic:spPr>
                </pic:pic>
              </a:graphicData>
            </a:graphic>
          </wp:inline>
        </w:drawing>
      </w:r>
    </w:p>
    <w:p>
      <w:pPr>
        <w:spacing w:line="360" w:lineRule="auto"/>
        <w:ind w:firstLine="480" w:firstLineChars="200"/>
        <w:rPr>
          <w:kern w:val="0"/>
          <w:sz w:val="24"/>
          <w:szCs w:val="24"/>
        </w:rPr>
      </w:pPr>
      <w:r>
        <w:rPr>
          <w:rFonts w:eastAsia="Times New Roman"/>
          <w:kern w:val="0"/>
          <w:sz w:val="24"/>
          <w:szCs w:val="24"/>
        </w:rPr>
        <w:t>As an example, select ‘write Bank’ in the type of operation that operates common parameters, then select the antenna to write the tag. The read-write operation parameters select the bank to write to (TID cannot write to), enter the start address and below enter the tag data to write to. Click the ‘Execute’ button.</w:t>
      </w:r>
    </w:p>
    <w:p>
      <w:pPr>
        <w:spacing w:line="360" w:lineRule="auto"/>
        <w:rPr>
          <w:kern w:val="0"/>
          <w:sz w:val="24"/>
          <w:szCs w:val="24"/>
        </w:rPr>
      </w:pPr>
      <w:r>
        <w:rPr>
          <w:rFonts w:eastAsia="Times New Roman"/>
          <w:kern w:val="0"/>
          <w:sz w:val="24"/>
          <w:szCs w:val="24"/>
        </w:rPr>
        <w:t>When the written bank is locked, you will need to enter the correct password for the write to succeed.</w:t>
      </w:r>
    </w:p>
    <w:p>
      <w:pPr>
        <w:pStyle w:val="23"/>
        <w:numPr>
          <w:ilvl w:val="0"/>
          <w:numId w:val="10"/>
        </w:numPr>
        <w:spacing w:line="360" w:lineRule="auto"/>
        <w:rPr>
          <w:kern w:val="0"/>
          <w:sz w:val="24"/>
          <w:szCs w:val="24"/>
        </w:rPr>
      </w:pPr>
      <w:r>
        <w:rPr>
          <w:rFonts w:eastAsia="Times New Roman"/>
          <w:kern w:val="0"/>
          <w:sz w:val="28"/>
          <w:szCs w:val="24"/>
        </w:rPr>
        <w:t xml:space="preserve">Lock the </w:t>
      </w:r>
      <w:r>
        <w:rPr>
          <w:kern w:val="0"/>
          <w:sz w:val="28"/>
          <w:szCs w:val="24"/>
        </w:rPr>
        <w:t>Tags</w:t>
      </w:r>
    </w:p>
    <w:p>
      <w:pPr>
        <w:spacing w:line="360" w:lineRule="auto"/>
        <w:ind w:firstLine="420"/>
        <w:rPr>
          <w:kern w:val="0"/>
          <w:sz w:val="24"/>
          <w:szCs w:val="24"/>
        </w:rPr>
      </w:pPr>
      <w:r>
        <w:rPr>
          <w:rFonts w:eastAsia="Times New Roman"/>
          <w:kern w:val="0"/>
          <w:sz w:val="24"/>
          <w:szCs w:val="24"/>
        </w:rPr>
        <w:t>Lock operation is divided into 3 types are ‘unlock’, ‘temporary lock’, ‘permanent lock’. After being locked, the lock cannot be unlocked.</w:t>
      </w:r>
    </w:p>
    <w:p>
      <w:pPr>
        <w:spacing w:line="360" w:lineRule="auto"/>
        <w:ind w:firstLine="360"/>
        <w:rPr>
          <w:kern w:val="0"/>
          <w:sz w:val="24"/>
          <w:szCs w:val="24"/>
        </w:rPr>
      </w:pPr>
      <w:r>
        <w:rPr>
          <w:rFonts w:eastAsia="Times New Roman"/>
          <w:kern w:val="0"/>
          <w:sz w:val="24"/>
          <w:szCs w:val="24"/>
        </w:rPr>
        <w:t>When reserve bank is locked, you must provide an access password to read it. When other reserve bank is locked, you can read it without a password, but you must provide an access password for write operations. (</w:t>
      </w:r>
      <w:r>
        <w:rPr>
          <w:rFonts w:eastAsia="Times New Roman"/>
          <w:color w:val="000000"/>
          <w:sz w:val="19"/>
          <w:szCs w:val="24"/>
        </w:rPr>
        <w:t xml:space="preserve">Access Password and Kill Password both </w:t>
      </w:r>
      <w:r>
        <w:rPr>
          <w:rFonts w:eastAsia="Times New Roman"/>
          <w:kern w:val="0"/>
          <w:sz w:val="24"/>
          <w:szCs w:val="24"/>
        </w:rPr>
        <w:t>belong to the reserve bank)</w:t>
      </w:r>
      <w:r>
        <w:rPr>
          <w:kern w:val="0"/>
          <w:sz w:val="24"/>
          <w:szCs w:val="24"/>
        </w:rPr>
        <w:t>.</w:t>
      </w:r>
    </w:p>
    <w:p>
      <w:pPr>
        <w:spacing w:line="360" w:lineRule="auto"/>
        <w:ind w:firstLine="360"/>
        <w:rPr>
          <w:kern w:val="0"/>
          <w:sz w:val="24"/>
          <w:szCs w:val="24"/>
        </w:rPr>
      </w:pPr>
      <w:r>
        <w:rPr>
          <w:kern w:val="0"/>
          <w:sz w:val="24"/>
          <w:szCs w:val="24"/>
        </w:rPr>
        <w:drawing>
          <wp:inline distT="0" distB="0" distL="0" distR="0">
            <wp:extent cx="5274310" cy="3055620"/>
            <wp:effectExtent l="0" t="0" r="2540" b="0"/>
            <wp:docPr id="69117241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1172419" name="图片 13"/>
                    <pic:cNvPicPr>
                      <a:picLocks noChangeAspect="1"/>
                    </pic:cNvPicPr>
                  </pic:nvPicPr>
                  <pic:blipFill>
                    <a:blip r:embed="rId19"/>
                    <a:stretch>
                      <a:fillRect/>
                    </a:stretch>
                  </pic:blipFill>
                  <pic:spPr>
                    <a:xfrm>
                      <a:off x="0" y="0"/>
                      <a:ext cx="5274310" cy="3055620"/>
                    </a:xfrm>
                    <a:prstGeom prst="rect">
                      <a:avLst/>
                    </a:prstGeom>
                  </pic:spPr>
                </pic:pic>
              </a:graphicData>
            </a:graphic>
          </wp:inline>
        </w:drawing>
      </w:r>
    </w:p>
    <w:p>
      <w:pPr>
        <w:pStyle w:val="23"/>
        <w:numPr>
          <w:ilvl w:val="0"/>
          <w:numId w:val="10"/>
        </w:numPr>
        <w:spacing w:line="360" w:lineRule="auto"/>
        <w:outlineLvl w:val="1"/>
        <w:rPr>
          <w:kern w:val="0"/>
          <w:sz w:val="28"/>
          <w:szCs w:val="28"/>
        </w:rPr>
      </w:pPr>
      <w:r>
        <w:rPr>
          <w:rFonts w:eastAsia="Times New Roman"/>
          <w:kern w:val="0"/>
          <w:sz w:val="28"/>
          <w:szCs w:val="24"/>
        </w:rPr>
        <w:t xml:space="preserve">Destroy </w:t>
      </w:r>
      <w:r>
        <w:rPr>
          <w:kern w:val="0"/>
          <w:sz w:val="28"/>
          <w:szCs w:val="24"/>
        </w:rPr>
        <w:t>Tags</w:t>
      </w:r>
    </w:p>
    <w:p>
      <w:pPr>
        <w:spacing w:line="360" w:lineRule="auto"/>
        <w:ind w:firstLine="650" w:firstLineChars="271"/>
        <w:rPr>
          <w:kern w:val="0"/>
          <w:sz w:val="24"/>
          <w:szCs w:val="24"/>
        </w:rPr>
      </w:pPr>
      <w:r>
        <w:rPr>
          <w:rFonts w:eastAsia="Times New Roman"/>
          <w:kern w:val="0"/>
          <w:sz w:val="24"/>
          <w:szCs w:val="24"/>
        </w:rPr>
        <w:t>When a tag is locked, the tag is destroyed and cannot be used again. A destroy code must be entered to destroy the tag.</w:t>
      </w:r>
    </w:p>
    <w:p>
      <w:pPr>
        <w:spacing w:line="360" w:lineRule="auto"/>
        <w:rPr>
          <w:kern w:val="0"/>
          <w:sz w:val="24"/>
          <w:szCs w:val="24"/>
        </w:rPr>
      </w:pPr>
      <w:r>
        <w:rPr>
          <w:rFonts w:eastAsia="Times New Roman"/>
          <w:sz w:val="32"/>
        </w:rPr>
        <w:t xml:space="preserve">V. </w:t>
      </w:r>
      <w:r>
        <w:rPr>
          <w:sz w:val="32"/>
        </w:rPr>
        <w:t>P</w:t>
      </w:r>
      <w:r>
        <w:rPr>
          <w:rFonts w:eastAsia="Times New Roman"/>
          <w:sz w:val="32"/>
        </w:rPr>
        <w:t xml:space="preserve">eripheral </w:t>
      </w:r>
      <w:r>
        <w:rPr>
          <w:sz w:val="32"/>
        </w:rPr>
        <w:t>I</w:t>
      </w:r>
      <w:r>
        <w:rPr>
          <w:rFonts w:eastAsia="Times New Roman"/>
          <w:sz w:val="32"/>
        </w:rPr>
        <w:t>nterface</w:t>
      </w:r>
    </w:p>
    <w:p>
      <w:pPr>
        <w:spacing w:line="360" w:lineRule="auto"/>
        <w:ind w:firstLine="720" w:firstLineChars="300"/>
        <w:rPr>
          <w:kern w:val="0"/>
          <w:sz w:val="24"/>
          <w:szCs w:val="24"/>
        </w:rPr>
      </w:pPr>
      <w:r>
        <w:rPr>
          <w:rFonts w:eastAsia="Times New Roman"/>
          <w:kern w:val="0"/>
          <w:sz w:val="24"/>
          <w:szCs w:val="24"/>
        </w:rPr>
        <w:t>GPI and GPO are universal input/output interfaces. For GPI input interface, the user can only obtain, for GPO input outlet, the user can set.</w:t>
      </w:r>
    </w:p>
    <w:p>
      <w:pPr>
        <w:spacing w:line="360" w:lineRule="auto"/>
        <w:rPr>
          <w:kern w:val="0"/>
          <w:sz w:val="24"/>
          <w:szCs w:val="24"/>
        </w:rPr>
      </w:pPr>
      <w:r>
        <w:rPr>
          <w:rFonts w:eastAsia="Times New Roman"/>
          <w:sz w:val="32"/>
        </w:rPr>
        <w:t>VI. Tools</w:t>
      </w:r>
    </w:p>
    <w:p>
      <w:pPr>
        <w:pStyle w:val="23"/>
        <w:numPr>
          <w:ilvl w:val="0"/>
          <w:numId w:val="11"/>
        </w:numPr>
        <w:spacing w:line="360" w:lineRule="auto"/>
        <w:rPr>
          <w:kern w:val="0"/>
          <w:sz w:val="28"/>
          <w:szCs w:val="28"/>
        </w:rPr>
      </w:pPr>
      <w:r>
        <w:rPr>
          <w:rFonts w:eastAsia="Times New Roman"/>
          <w:kern w:val="0"/>
          <w:sz w:val="28"/>
          <w:szCs w:val="24"/>
        </w:rPr>
        <w:t xml:space="preserve">Firmware </w:t>
      </w:r>
      <w:r>
        <w:rPr>
          <w:kern w:val="0"/>
          <w:sz w:val="28"/>
          <w:szCs w:val="24"/>
        </w:rPr>
        <w:t>U</w:t>
      </w:r>
      <w:r>
        <w:rPr>
          <w:rFonts w:eastAsia="Times New Roman"/>
          <w:kern w:val="0"/>
          <w:sz w:val="28"/>
          <w:szCs w:val="24"/>
        </w:rPr>
        <w:t>pgrade</w:t>
      </w:r>
    </w:p>
    <w:p>
      <w:pPr>
        <w:spacing w:line="360" w:lineRule="auto"/>
        <w:ind w:firstLine="420"/>
        <w:rPr>
          <w:rFonts w:eastAsia="Times New Roman"/>
          <w:kern w:val="0"/>
          <w:sz w:val="24"/>
          <w:szCs w:val="24"/>
        </w:rPr>
      </w:pPr>
      <w:r>
        <w:rPr>
          <w:rFonts w:eastAsia="Times New Roman"/>
          <w:kern w:val="0"/>
          <w:sz w:val="24"/>
          <w:szCs w:val="24"/>
        </w:rPr>
        <w:t xml:space="preserve">Make sure the firmware file is valid before upgrading the firmware. </w:t>
      </w:r>
      <w:r>
        <w:rPr>
          <w:rFonts w:eastAsia="Times New Roman"/>
          <w:kern w:val="0"/>
          <w:sz w:val="24"/>
          <w:szCs w:val="24"/>
          <w:highlight w:val="yellow"/>
        </w:rPr>
        <w:t>There are two types of firmware: module firmware and communication board firmware. Upgrade module firmware through serial port and communication board firmware through network port.</w:t>
      </w:r>
    </w:p>
    <w:p>
      <w:pPr>
        <w:spacing w:line="360" w:lineRule="auto"/>
        <w:ind w:firstLine="420"/>
        <w:rPr>
          <w:kern w:val="0"/>
          <w:sz w:val="24"/>
          <w:szCs w:val="24"/>
        </w:rPr>
      </w:pPr>
      <w:r>
        <w:rPr>
          <w:rFonts w:eastAsia="Times New Roman"/>
          <w:kern w:val="0"/>
          <w:sz w:val="24"/>
          <w:szCs w:val="24"/>
        </w:rPr>
        <w:t xml:space="preserve">Enter the address of the serial port or network </w:t>
      </w:r>
      <w:r>
        <w:rPr>
          <w:kern w:val="0"/>
          <w:sz w:val="24"/>
          <w:szCs w:val="24"/>
        </w:rPr>
        <w:t>address</w:t>
      </w:r>
      <w:r>
        <w:rPr>
          <w:rFonts w:eastAsia="Times New Roman"/>
          <w:kern w:val="0"/>
          <w:sz w:val="24"/>
          <w:szCs w:val="24"/>
        </w:rPr>
        <w:t>, click preview to select the firmware file, click upgrade and wait for the upgrade progress to complete. When the message is successful, you need to disconnect the power and reconnect.</w:t>
      </w:r>
    </w:p>
    <w:p>
      <w:pPr>
        <w:spacing w:line="360" w:lineRule="auto"/>
        <w:ind w:firstLine="420"/>
      </w:pPr>
      <w:r>
        <w:drawing>
          <wp:inline distT="0" distB="0" distL="0" distR="0">
            <wp:extent cx="5274310" cy="3055620"/>
            <wp:effectExtent l="0" t="0" r="2540" b="0"/>
            <wp:docPr id="69361520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3615207" name="图片 14"/>
                    <pic:cNvPicPr>
                      <a:picLocks noChangeAspect="1"/>
                    </pic:cNvPicPr>
                  </pic:nvPicPr>
                  <pic:blipFill>
                    <a:blip r:embed="rId20"/>
                    <a:stretch>
                      <a:fillRect/>
                    </a:stretch>
                  </pic:blipFill>
                  <pic:spPr>
                    <a:xfrm>
                      <a:off x="0" y="0"/>
                      <a:ext cx="5274310" cy="3055620"/>
                    </a:xfrm>
                    <a:prstGeom prst="rect">
                      <a:avLst/>
                    </a:prstGeom>
                  </pic:spPr>
                </pic:pic>
              </a:graphicData>
            </a:graphic>
          </wp:inline>
        </w:drawing>
      </w:r>
    </w:p>
    <w:p>
      <w:pPr>
        <w:pStyle w:val="23"/>
        <w:numPr>
          <w:ilvl w:val="0"/>
          <w:numId w:val="12"/>
        </w:numPr>
        <w:spacing w:line="360" w:lineRule="auto"/>
        <w:rPr>
          <w:kern w:val="0"/>
          <w:sz w:val="28"/>
          <w:szCs w:val="28"/>
        </w:rPr>
      </w:pPr>
      <w:r>
        <w:rPr>
          <w:rFonts w:eastAsia="Times New Roman"/>
          <w:kern w:val="0"/>
          <w:sz w:val="28"/>
          <w:szCs w:val="24"/>
        </w:rPr>
        <w:t xml:space="preserve">Standing </w:t>
      </w:r>
      <w:r>
        <w:rPr>
          <w:kern w:val="0"/>
          <w:sz w:val="28"/>
          <w:szCs w:val="24"/>
        </w:rPr>
        <w:t>W</w:t>
      </w:r>
      <w:r>
        <w:rPr>
          <w:rFonts w:eastAsia="Times New Roman"/>
          <w:kern w:val="0"/>
          <w:sz w:val="28"/>
          <w:szCs w:val="24"/>
        </w:rPr>
        <w:t xml:space="preserve">ave </w:t>
      </w:r>
      <w:r>
        <w:rPr>
          <w:kern w:val="0"/>
          <w:sz w:val="28"/>
          <w:szCs w:val="24"/>
        </w:rPr>
        <w:t>D</w:t>
      </w:r>
      <w:r>
        <w:rPr>
          <w:rFonts w:eastAsia="Times New Roman"/>
          <w:kern w:val="0"/>
          <w:sz w:val="28"/>
          <w:szCs w:val="24"/>
        </w:rPr>
        <w:t>etection</w:t>
      </w:r>
    </w:p>
    <w:p>
      <w:pPr>
        <w:spacing w:line="360" w:lineRule="auto"/>
        <w:ind w:firstLine="420"/>
      </w:pPr>
      <w:r>
        <w:rPr>
          <w:rFonts w:eastAsia="Times New Roman"/>
          <w:kern w:val="0"/>
          <w:sz w:val="24"/>
          <w:szCs w:val="24"/>
        </w:rPr>
        <w:t xml:space="preserve">Input antenna number and Tx power, then click ‘Get’ button, the result will be displayed below. </w:t>
      </w:r>
      <w:r>
        <w:rPr>
          <w:rFonts w:eastAsiaTheme="minorEastAsia"/>
          <w:sz w:val="24"/>
          <w:szCs w:val="22"/>
        </w:rPr>
        <w:t>The standing wave ratio test can detect the antenna performance,</w:t>
      </w:r>
      <w:r>
        <w:rPr>
          <w:rFonts w:hint="eastAsia" w:eastAsiaTheme="minorEastAsia"/>
          <w:sz w:val="24"/>
          <w:szCs w:val="22"/>
          <w:lang w:val="en-US" w:eastAsia="zh-CN"/>
        </w:rPr>
        <w:t>1</w:t>
      </w:r>
      <w:bookmarkStart w:id="19" w:name="_GoBack"/>
      <w:bookmarkEnd w:id="19"/>
      <w:r>
        <w:rPr>
          <w:rFonts w:eastAsiaTheme="minorEastAsia"/>
          <w:sz w:val="24"/>
          <w:szCs w:val="22"/>
        </w:rPr>
        <w:t>~1.5 is good performance 1.5~2 is average performance,2 above is poor performance.</w:t>
      </w:r>
    </w:p>
    <w:p>
      <w:pPr>
        <w:spacing w:line="360" w:lineRule="auto"/>
        <w:ind w:firstLine="420"/>
        <w:rPr>
          <w:kern w:val="0"/>
          <w:sz w:val="28"/>
          <w:szCs w:val="28"/>
        </w:rPr>
      </w:pPr>
      <w:r>
        <w:rPr>
          <w:kern w:val="0"/>
          <w:sz w:val="28"/>
          <w:szCs w:val="28"/>
        </w:rPr>
        <w:drawing>
          <wp:inline distT="0" distB="0" distL="0" distR="0">
            <wp:extent cx="6115050" cy="3542665"/>
            <wp:effectExtent l="0" t="0" r="0" b="635"/>
            <wp:docPr id="204148936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489366" name="图片 15"/>
                    <pic:cNvPicPr>
                      <a:picLocks noChangeAspect="1"/>
                    </pic:cNvPicPr>
                  </pic:nvPicPr>
                  <pic:blipFill>
                    <a:blip r:embed="rId21"/>
                    <a:stretch>
                      <a:fillRect/>
                    </a:stretch>
                  </pic:blipFill>
                  <pic:spPr>
                    <a:xfrm>
                      <a:off x="0" y="0"/>
                      <a:ext cx="6120035" cy="3545583"/>
                    </a:xfrm>
                    <a:prstGeom prst="rect">
                      <a:avLst/>
                    </a:prstGeom>
                  </pic:spPr>
                </pic:pic>
              </a:graphicData>
            </a:graphic>
          </wp:inline>
        </w:drawing>
      </w:r>
    </w:p>
    <w:sectPr>
      <w:footerReference r:id="rId3"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微软雅黑">
    <w:panose1 w:val="020B0503020204020204"/>
    <w:charset w:val="86"/>
    <w:family w:val="swiss"/>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38" name="文本框4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pPr>
                            <w:snapToGrid w:val="0"/>
                            <w:rPr>
                              <w:sz w:val="18"/>
                            </w:rPr>
                          </w:pPr>
                          <w:r>
                            <w:rPr>
                              <w:sz w:val="18"/>
                            </w:rPr>
                            <w:fldChar w:fldCharType="begin"/>
                          </w:r>
                          <w:r>
                            <w:rPr>
                              <w:sz w:val="18"/>
                            </w:rPr>
                            <w:instrText xml:space="preserve"> PAGE  \* MERGEFORMAT </w:instrText>
                          </w:r>
                          <w:r>
                            <w:rPr>
                              <w:sz w:val="18"/>
                            </w:rPr>
                            <w:fldChar w:fldCharType="separate"/>
                          </w:r>
                          <w:r>
                            <w:rPr>
                              <w:sz w:val="18"/>
                            </w:rPr>
                            <w:t>33</w:t>
                          </w:r>
                          <w:r>
                            <w:rPr>
                              <w:sz w:val="18"/>
                            </w:rPr>
                            <w:fldChar w:fldCharType="end"/>
                          </w:r>
                        </w:p>
                      </w:txbxContent>
                    </wps:txbx>
                    <wps:bodyPr wrap="none" lIns="0" tIns="0" rIns="0" bIns="0" upright="1">
                      <a:spAutoFit/>
                    </wps:bodyPr>
                  </wps:wsp>
                </a:graphicData>
              </a:graphic>
            </wp:anchor>
          </w:drawing>
        </mc:Choice>
        <mc:Fallback>
          <w:pict>
            <v:shape id="文本框45"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fH4ZosoBAACaAwAADgAAAGRycy9lMm9Eb2MueG1srVNNrtMwEN4jcQfL&#10;e+q0/KiKmj6BqoeQECA9OIDr2I0l/8njNukF4Aas2LDnXD0HYyfpg8fmLdg445nxN983M9ncDNaQ&#10;k4ygvWvoclFRIp3wrXaHhn75fPtsTQkk7lpuvJMNPUugN9unTzZ9qOXKd960MhIEcVD3oaFdSqFm&#10;DEQnLYeFD9JhUPloecJrPLA28h7RrWGrqnrFeh/bEL2QAOjdjUE6IcbHAHqltJA7L45WujSiRml4&#10;QknQ6QB0W9gqJUX6qBTIRExDUWkqJxZBe59Ptt3w+hB56LSYKPDHUHigyXLtsOgVascTJ8eo/4Gy&#10;WkQPXqWF8JaNQkpHUMWyetCbu44HWbRgqyFcmw7/D1Z8OH2KRLcNfY5zd9zixC/fv11+/Lr8/Pri&#10;Ze5PH6DGtLuAiWl44wfcmtkP6MyyBxVt/qIggnHs7vnaXTkkIvKj9Wq9rjAkMDZfEJ/dPw8R0lvp&#10;LclGQyOOr3SVn95DGlPnlFzN+VttTBmhcX85EDN7WOY+csxWGvbDJGjv2zPq6XHyDXW46JSYdw4b&#10;m5dkNuJs7GfjGKI+dEhtWXhBeH1MSKJwyxVG2Kkwjqyom9Yr78Sf95J1/0ttfwN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AyBAAAW0NvbnRlbnRf&#10;VHlwZXNdLnhtbFBLAQIUAAoAAAAAAIdO4kAAAAAAAAAAAAAAAAAGAAAAAAAAAAAAEAAAABQDAABf&#10;cmVscy9QSwECFAAUAAAACACHTuJAihRmPNEAAACUAQAACwAAAAAAAAABACAAAAA4AwAAX3JlbHMv&#10;LnJlbHNQSwECFAAKAAAAAACHTuJAAAAAAAAAAAAAAAAABAAAAAAAAAAAABAAAAAAAAAAZHJzL1BL&#10;AQIUABQAAAAIAIdO4kDOqXm5zwAAAAUBAAAPAAAAAAAAAAEAIAAAACIAAABkcnMvZG93bnJldi54&#10;bWxQSwECFAAUAAAACACHTuJAfH4ZosoBAACaAwAADgAAAAAAAAABACAAAAAeAQAAZHJzL2Uyb0Rv&#10;Yy54bWxQSwUGAAAAAAYABgBZAQAAWgUAAAAA&#10;">
              <v:fill on="f" focussize="0,0"/>
              <v:stroke on="f"/>
              <v:imagedata o:title=""/>
              <o:lock v:ext="edit" aspectratio="f"/>
              <v:textbox inset="0mm,0mm,0mm,0mm" style="mso-fit-shape-to-text:t;">
                <w:txbxContent>
                  <w:p>
                    <w:pPr>
                      <w:snapToGrid w:val="0"/>
                      <w:rPr>
                        <w:sz w:val="18"/>
                      </w:rPr>
                    </w:pPr>
                    <w:r>
                      <w:rPr>
                        <w:sz w:val="18"/>
                      </w:rPr>
                      <w:fldChar w:fldCharType="begin"/>
                    </w:r>
                    <w:r>
                      <w:rPr>
                        <w:sz w:val="18"/>
                      </w:rPr>
                      <w:instrText xml:space="preserve"> PAGE  \* MERGEFORMAT </w:instrText>
                    </w:r>
                    <w:r>
                      <w:rPr>
                        <w:sz w:val="18"/>
                      </w:rPr>
                      <w:fldChar w:fldCharType="separate"/>
                    </w:r>
                    <w:r>
                      <w:rPr>
                        <w:sz w:val="18"/>
                      </w:rPr>
                      <w:t>33</w:t>
                    </w:r>
                    <w:r>
                      <w:rPr>
                        <w:sz w:val="18"/>
                      </w:rP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4740989"/>
    <w:multiLevelType w:val="multilevel"/>
    <w:tmpl w:val="04740989"/>
    <w:lvl w:ilvl="0" w:tentative="0">
      <w:start w:val="2"/>
      <w:numFmt w:val="upperRoman"/>
      <w:lvlText w:val="%1."/>
      <w:lvlJc w:val="left"/>
      <w:pPr>
        <w:ind w:left="1080" w:hanging="720"/>
      </w:pPr>
      <w:rPr>
        <w:rFonts w:hint="default" w:eastAsia="Times New Roman"/>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
    <w:nsid w:val="067312BA"/>
    <w:multiLevelType w:val="multilevel"/>
    <w:tmpl w:val="067312BA"/>
    <w:lvl w:ilvl="0" w:tentative="0">
      <w:start w:val="1"/>
      <w:numFmt w:val="upperRoman"/>
      <w:lvlText w:val="%1."/>
      <w:lvlJc w:val="left"/>
      <w:pPr>
        <w:ind w:left="1080" w:hanging="720"/>
      </w:pPr>
      <w:rPr>
        <w:rFonts w:hint="default" w:eastAsia="Times New Roman"/>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2">
    <w:nsid w:val="073D6969"/>
    <w:multiLevelType w:val="multilevel"/>
    <w:tmpl w:val="073D6969"/>
    <w:lvl w:ilvl="0" w:tentative="0">
      <w:start w:val="1"/>
      <w:numFmt w:val="decimal"/>
      <w:lvlText w:val="%1."/>
      <w:lvlJc w:val="left"/>
      <w:pPr>
        <w:ind w:left="720" w:hanging="360"/>
      </w:pPr>
      <w:rPr>
        <w:rFonts w:hint="default" w:hAnsi="Times New Roman" w:eastAsia="Times New Roman" w:cs="Times New Roman"/>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3">
    <w:nsid w:val="1308539B"/>
    <w:multiLevelType w:val="multilevel"/>
    <w:tmpl w:val="1308539B"/>
    <w:lvl w:ilvl="0" w:tentative="0">
      <w:start w:val="1"/>
      <w:numFmt w:val="decimal"/>
      <w:lvlText w:val="(%1)"/>
      <w:lvlJc w:val="left"/>
      <w:pPr>
        <w:ind w:left="780" w:hanging="420"/>
      </w:pPr>
      <w:rPr>
        <w:rFonts w:hint="default"/>
        <w:sz w:val="28"/>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4">
    <w:nsid w:val="1F345519"/>
    <w:multiLevelType w:val="multilevel"/>
    <w:tmpl w:val="1F345519"/>
    <w:lvl w:ilvl="0" w:tentative="0">
      <w:start w:val="1"/>
      <w:numFmt w:val="decimal"/>
      <w:lvlText w:val="(%1)"/>
      <w:lvlJc w:val="left"/>
      <w:pPr>
        <w:ind w:left="780" w:hanging="420"/>
      </w:pPr>
      <w:rPr>
        <w:rFonts w:hint="default"/>
        <w:sz w:val="28"/>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5">
    <w:nsid w:val="31D447BA"/>
    <w:multiLevelType w:val="multilevel"/>
    <w:tmpl w:val="31D447BA"/>
    <w:lvl w:ilvl="0" w:tentative="0">
      <w:start w:val="1"/>
      <w:numFmt w:val="decimal"/>
      <w:lvlText w:val="%1."/>
      <w:lvlJc w:val="left"/>
      <w:pPr>
        <w:ind w:left="720" w:hanging="360"/>
      </w:pPr>
      <w:rPr>
        <w:rFonts w:hint="default" w:hAnsi="Times New Roman" w:eastAsia="Times New Roman" w:cs="Times New Roman"/>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6">
    <w:nsid w:val="33450B89"/>
    <w:multiLevelType w:val="multilevel"/>
    <w:tmpl w:val="33450B89"/>
    <w:lvl w:ilvl="0" w:tentative="0">
      <w:start w:val="1"/>
      <w:numFmt w:val="decimal"/>
      <w:lvlText w:val="%1."/>
      <w:lvlJc w:val="left"/>
      <w:pPr>
        <w:ind w:left="720" w:hanging="360"/>
      </w:pPr>
      <w:rPr>
        <w:rFonts w:hint="default" w:eastAsia="Times New Roman" w:cs="Times New Roman"/>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7">
    <w:nsid w:val="33F57DFF"/>
    <w:multiLevelType w:val="multilevel"/>
    <w:tmpl w:val="33F57DFF"/>
    <w:lvl w:ilvl="0" w:tentative="0">
      <w:start w:val="1"/>
      <w:numFmt w:val="decimal"/>
      <w:lvlText w:val="%1."/>
      <w:lvlJc w:val="left"/>
      <w:pPr>
        <w:ind w:left="720" w:hanging="360"/>
      </w:pPr>
      <w:rPr>
        <w:rFonts w:hint="default" w:ascii="宋体" w:eastAsia="Times New Roman"/>
        <w:sz w:val="28"/>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8">
    <w:nsid w:val="4723503E"/>
    <w:multiLevelType w:val="multilevel"/>
    <w:tmpl w:val="4723503E"/>
    <w:lvl w:ilvl="0" w:tentative="0">
      <w:start w:val="3"/>
      <w:numFmt w:val="upperRoman"/>
      <w:lvlText w:val="%1."/>
      <w:lvlJc w:val="left"/>
      <w:pPr>
        <w:ind w:left="1080" w:hanging="720"/>
      </w:pPr>
      <w:rPr>
        <w:rFonts w:hint="default" w:eastAsia="Times New Roman"/>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9">
    <w:nsid w:val="5777392F"/>
    <w:multiLevelType w:val="multilevel"/>
    <w:tmpl w:val="5777392F"/>
    <w:lvl w:ilvl="0" w:tentative="0">
      <w:start w:val="2"/>
      <w:numFmt w:val="decimal"/>
      <w:lvlText w:val="%1."/>
      <w:lvlJc w:val="left"/>
      <w:pPr>
        <w:ind w:left="720" w:hanging="360"/>
      </w:pPr>
      <w:rPr>
        <w:rFonts w:hint="default" w:hAnsi="Times New Roman" w:eastAsia="Times New Roman" w:cs="Times New Roman"/>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0">
    <w:nsid w:val="644F7638"/>
    <w:multiLevelType w:val="multilevel"/>
    <w:tmpl w:val="644F7638"/>
    <w:lvl w:ilvl="0" w:tentative="0">
      <w:start w:val="5"/>
      <w:numFmt w:val="decimal"/>
      <w:lvlText w:val="%1."/>
      <w:lvlJc w:val="left"/>
      <w:pPr>
        <w:ind w:left="720" w:hanging="360"/>
      </w:pPr>
      <w:rPr>
        <w:rFonts w:hint="default" w:hAnsi="Times New Roman" w:eastAsia="Times New Roman" w:cs="Times New Roman"/>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1">
    <w:nsid w:val="7D6C76D1"/>
    <w:multiLevelType w:val="multilevel"/>
    <w:tmpl w:val="7D6C76D1"/>
    <w:lvl w:ilvl="0" w:tentative="0">
      <w:start w:val="1"/>
      <w:numFmt w:val="decimal"/>
      <w:lvlText w:val="%1."/>
      <w:lvlJc w:val="left"/>
      <w:pPr>
        <w:ind w:left="720" w:hanging="360"/>
      </w:pPr>
      <w:rPr>
        <w:rFonts w:hint="default" w:ascii="宋体" w:eastAsia="Times New Roman"/>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num w:numId="1">
    <w:abstractNumId w:val="1"/>
  </w:num>
  <w:num w:numId="2">
    <w:abstractNumId w:val="11"/>
  </w:num>
  <w:num w:numId="3">
    <w:abstractNumId w:val="0"/>
  </w:num>
  <w:num w:numId="4">
    <w:abstractNumId w:val="7"/>
  </w:num>
  <w:num w:numId="5">
    <w:abstractNumId w:val="10"/>
  </w:num>
  <w:num w:numId="6">
    <w:abstractNumId w:val="8"/>
  </w:num>
  <w:num w:numId="7">
    <w:abstractNumId w:val="2"/>
  </w:num>
  <w:num w:numId="8">
    <w:abstractNumId w:val="3"/>
  </w:num>
  <w:num w:numId="9">
    <w:abstractNumId w:val="4"/>
  </w:num>
  <w:num w:numId="10">
    <w:abstractNumId w:val="6"/>
  </w:num>
  <w:num w:numId="11">
    <w:abstractNumId w:val="5"/>
  </w:num>
  <w:num w:numId="1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noLineBreaksAfter w:lang="zh-CN" w:val="$([{£¥·‘“〈《「『【〔〖〝﹙﹛﹝＄（．［｛￡￥"/>
  <w:noLineBreaksBefore w:lang="zh-CN" w:val="!%),.:;&gt;?]}¢¨°·ˇˉ―‖’”…‰′″›℃∶、。〃〉》」』】〕〗〞︶︺︾﹀﹄﹚﹜﹞！＂％＇），．：；？］｀｜｝～￠"/>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GM5Y2I0YzExZmMxMTYzOWNmMGE1YzU1YmUxODEzMWEifQ=="/>
    <w:docVar w:name="KSO_WPS_MARK_KEY" w:val="ac4964ec-9aa1-4a44-b4af-97193311d5e6"/>
  </w:docVars>
  <w:rsids>
    <w:rsidRoot w:val="00172A27"/>
    <w:rsid w:val="000267DA"/>
    <w:rsid w:val="00086EE0"/>
    <w:rsid w:val="000A1FF5"/>
    <w:rsid w:val="000C62D6"/>
    <w:rsid w:val="000E58C5"/>
    <w:rsid w:val="000F58C3"/>
    <w:rsid w:val="0015002C"/>
    <w:rsid w:val="0015362D"/>
    <w:rsid w:val="001644CC"/>
    <w:rsid w:val="00172A27"/>
    <w:rsid w:val="001B07D6"/>
    <w:rsid w:val="001B3E19"/>
    <w:rsid w:val="00222D23"/>
    <w:rsid w:val="002778EB"/>
    <w:rsid w:val="00291349"/>
    <w:rsid w:val="00310200"/>
    <w:rsid w:val="00316636"/>
    <w:rsid w:val="00347CE1"/>
    <w:rsid w:val="003A0C06"/>
    <w:rsid w:val="003B3F4F"/>
    <w:rsid w:val="003C49C7"/>
    <w:rsid w:val="003C7983"/>
    <w:rsid w:val="004742FA"/>
    <w:rsid w:val="004B20F2"/>
    <w:rsid w:val="004C2DF3"/>
    <w:rsid w:val="004E618B"/>
    <w:rsid w:val="00545A16"/>
    <w:rsid w:val="005838B7"/>
    <w:rsid w:val="00680DAF"/>
    <w:rsid w:val="006D4CB5"/>
    <w:rsid w:val="006D6DAC"/>
    <w:rsid w:val="00765F18"/>
    <w:rsid w:val="007D73DB"/>
    <w:rsid w:val="007F05F1"/>
    <w:rsid w:val="00837B81"/>
    <w:rsid w:val="008D4FAA"/>
    <w:rsid w:val="008E5513"/>
    <w:rsid w:val="00971F62"/>
    <w:rsid w:val="009935FC"/>
    <w:rsid w:val="009D2981"/>
    <w:rsid w:val="009D2D59"/>
    <w:rsid w:val="009D45A7"/>
    <w:rsid w:val="00A406CA"/>
    <w:rsid w:val="00A44F58"/>
    <w:rsid w:val="00A963E3"/>
    <w:rsid w:val="00AA100B"/>
    <w:rsid w:val="00AE1BAD"/>
    <w:rsid w:val="00AE72DF"/>
    <w:rsid w:val="00B517C4"/>
    <w:rsid w:val="00BC31C6"/>
    <w:rsid w:val="00C22D33"/>
    <w:rsid w:val="00C72503"/>
    <w:rsid w:val="00C7572A"/>
    <w:rsid w:val="00D032AE"/>
    <w:rsid w:val="00D34B21"/>
    <w:rsid w:val="00D539A6"/>
    <w:rsid w:val="00D62B6D"/>
    <w:rsid w:val="00DC44DC"/>
    <w:rsid w:val="00DE5A7D"/>
    <w:rsid w:val="00E57174"/>
    <w:rsid w:val="00E836A1"/>
    <w:rsid w:val="00E83ADF"/>
    <w:rsid w:val="00EC0C0A"/>
    <w:rsid w:val="00F11851"/>
    <w:rsid w:val="00F32FE6"/>
    <w:rsid w:val="00F36FC1"/>
    <w:rsid w:val="00F718FF"/>
    <w:rsid w:val="00FC73CA"/>
    <w:rsid w:val="05D15877"/>
    <w:rsid w:val="06774A93"/>
    <w:rsid w:val="09F149F1"/>
    <w:rsid w:val="0A0C42B6"/>
    <w:rsid w:val="0A4771A4"/>
    <w:rsid w:val="0E893D59"/>
    <w:rsid w:val="12B335A6"/>
    <w:rsid w:val="14B55E64"/>
    <w:rsid w:val="25E42645"/>
    <w:rsid w:val="29A61E6D"/>
    <w:rsid w:val="2B3E64CC"/>
    <w:rsid w:val="2D2B3F90"/>
    <w:rsid w:val="302C6B43"/>
    <w:rsid w:val="320D11C6"/>
    <w:rsid w:val="330D738F"/>
    <w:rsid w:val="337013E8"/>
    <w:rsid w:val="3CE97562"/>
    <w:rsid w:val="3FE324F2"/>
    <w:rsid w:val="44587BC9"/>
    <w:rsid w:val="454A0A90"/>
    <w:rsid w:val="4B810772"/>
    <w:rsid w:val="56F02C50"/>
    <w:rsid w:val="583F3749"/>
    <w:rsid w:val="59DA5B42"/>
    <w:rsid w:val="5D206B9D"/>
    <w:rsid w:val="60352963"/>
    <w:rsid w:val="60875ED3"/>
    <w:rsid w:val="61802938"/>
    <w:rsid w:val="63414027"/>
    <w:rsid w:val="63656A5D"/>
    <w:rsid w:val="64691F93"/>
    <w:rsid w:val="6DCF775D"/>
    <w:rsid w:val="6ED556EC"/>
    <w:rsid w:val="73301C21"/>
    <w:rsid w:val="75206B9C"/>
    <w:rsid w:val="7726757B"/>
    <w:rsid w:val="7EF16FA7"/>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ocked="1"/>
    <w:lsdException w:qFormat="1" w:unhideWhenUsed="0" w:uiPriority="99" w:semiHidden="0" w:name="heading 2"/>
    <w:lsdException w:qFormat="1" w:uiPriority="9" w:name="heading 3" w:locked="1"/>
    <w:lsdException w:qFormat="1" w:uiPriority="9" w:name="heading 4" w:locked="1"/>
    <w:lsdException w:qFormat="1" w:uiPriority="9" w:name="heading 5" w:locked="1"/>
    <w:lsdException w:qFormat="1" w:uiPriority="9" w:name="heading 6" w:locked="1"/>
    <w:lsdException w:qFormat="1" w:uiPriority="9" w:name="heading 7" w:locked="1"/>
    <w:lsdException w:qFormat="1" w:uiPriority="9" w:name="heading 8" w:locked="1"/>
    <w:lsdException w:qFormat="1" w:uiPriority="9" w:name="heading 9" w:locked="1"/>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99" w:name="toc 4"/>
    <w:lsdException w:qFormat="1" w:unhideWhenUsed="0" w:uiPriority="99" w:name="toc 5"/>
    <w:lsdException w:qFormat="1" w:unhideWhenUsed="0" w:uiPriority="99" w:name="toc 6"/>
    <w:lsdException w:unhideWhenUsed="0" w:uiPriority="99" w:name="toc 7"/>
    <w:lsdException w:qFormat="1" w:unhideWhenUsed="0" w:uiPriority="99" w:name="toc 8"/>
    <w:lsdException w:qFormat="1" w:unhideWhenUsed="0" w:uiPriority="99" w:name="toc 9"/>
    <w:lsdException w:uiPriority="0" w:name="Normal Indent"/>
    <w:lsdException w:uiPriority="0" w:name="footnote text"/>
    <w:lsdException w:uiPriority="0" w:name="annotation text"/>
    <w:lsdException w:qFormat="1" w:unhideWhenUsed="0" w:uiPriority="99" w:semiHidden="0" w:name="header"/>
    <w:lsdException w:qFormat="1" w:unhideWhenUsed="0" w:uiPriority="99" w:semiHidden="0" w:name="footer"/>
    <w:lsdException w:uiPriority="0" w:name="index heading"/>
    <w:lsdException w:qFormat="1" w:uiPriority="35" w:name="caption" w:locked="1"/>
    <w:lsdException w:uiPriority="0" w:name="table of figures"/>
    <w:lsdException w:uiPriority="0" w:name="envelope address"/>
    <w:lsdException w:uiPriority="0" w:name="envelope return"/>
    <w:lsdException w:uiPriority="0" w:name="footnote reference"/>
    <w:lsdException w:uiPriority="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nhideWhenUsed="0" w:uiPriority="0" w:semiHidden="0" w:name="macro"/>
    <w:lsdException w:uiPriority="0" w:name="toa heading"/>
    <w:lsdException w:uiPriority="0" w:name="List"/>
    <w:lsdException w:unhideWhenUsed="0" w:uiPriority="0" w:semiHidden="0" w:name="List Bullet"/>
    <w:lsdException w:unhideWhenUsed="0" w:uiPriority="0" w:semiHidden="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10" w:semiHidden="0" w:name="Title" w:locked="1"/>
    <w:lsdException w:uiPriority="0" w:name="Closing"/>
    <w:lsdException w:uiPriority="0" w:name="Signature"/>
    <w:lsdException w:uiPriority="1" w:name="Default Paragraph Font"/>
    <w:lsdException w:uiPriority="0" w:name="Body Text"/>
    <w:lsdException w:uiPriority="0" w:name="Body Text Indent"/>
    <w:lsdException w:uiPriority="0" w:name="List Continue"/>
    <w:lsdException w:uiPriority="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11" w:semiHidden="0" w:name="Subtitle" w:locked="1"/>
    <w:lsdException w:uiPriority="0" w:name="Salutation"/>
    <w:lsdException w:uiPriority="0" w:name="Date"/>
    <w:lsdException w:uiPriority="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nhideWhenUsed="0" w:uiPriority="99" w:semiHidden="0" w:name="Hyperlink"/>
    <w:lsdException w:uiPriority="0" w:name="FollowedHyperlink"/>
    <w:lsdException w:qFormat="1" w:unhideWhenUsed="0" w:uiPriority="22" w:semiHidden="0" w:name="Strong" w:locked="1"/>
    <w:lsdException w:qFormat="1" w:unhideWhenUsed="0" w:uiPriority="20" w:semiHidden="0" w:name="Emphasis" w:locked="1"/>
    <w:lsdException w:uiPriority="0" w:name="Document Map"/>
    <w:lsdException w:uiPriority="0" w:name="Plain Text"/>
    <w:lsdException w:uiPriority="0" w:name="E-mail Signature"/>
    <w:lsdException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uiPriority="99" w:name="Normal Table"/>
    <w:lsdException w:uiPriority="0" w:name="annotation subject"/>
    <w:lsdException w:uiPriority="99" w:name="Table Simple 1" w:locked="1"/>
    <w:lsdException w:uiPriority="99" w:name="Table Simple 2" w:locked="1"/>
    <w:lsdException w:uiPriority="99" w:name="Table Simple 3" w:locked="1"/>
    <w:lsdException w:uiPriority="99" w:name="Table Classic 1" w:locked="1"/>
    <w:lsdException w:uiPriority="99" w:name="Table Classic 2" w:locked="1"/>
    <w:lsdException w:uiPriority="99" w:name="Table Classic 3" w:locked="1"/>
    <w:lsdException w:uiPriority="99" w:name="Table Classic 4" w:locked="1"/>
    <w:lsdException w:uiPriority="99" w:name="Table Colorful 1" w:locked="1"/>
    <w:lsdException w:uiPriority="99" w:name="Table Colorful 2" w:locked="1"/>
    <w:lsdException w:uiPriority="99" w:name="Table Colorful 3" w:locked="1"/>
    <w:lsdException w:uiPriority="99" w:name="Table Columns 1" w:locked="1"/>
    <w:lsdException w:uiPriority="99" w:name="Table Columns 2" w:locked="1"/>
    <w:lsdException w:uiPriority="99" w:name="Table Columns 3" w:locked="1"/>
    <w:lsdException w:uiPriority="99" w:name="Table Columns 4" w:locked="1"/>
    <w:lsdException w:uiPriority="99" w:name="Table Columns 5" w:locked="1"/>
    <w:lsdException w:uiPriority="99" w:name="Table Grid 1" w:locked="1"/>
    <w:lsdException w:uiPriority="99" w:name="Table Grid 2" w:locked="1"/>
    <w:lsdException w:uiPriority="99" w:name="Table Grid 3" w:locked="1"/>
    <w:lsdException w:uiPriority="99" w:name="Table Grid 4" w:locked="1"/>
    <w:lsdException w:uiPriority="99" w:name="Table Grid 5" w:locked="1"/>
    <w:lsdException w:uiPriority="99" w:name="Table Grid 6" w:locked="1"/>
    <w:lsdException w:uiPriority="99" w:name="Table Grid 7" w:locked="1"/>
    <w:lsdException w:uiPriority="99" w:name="Table Grid 8" w:locked="1"/>
    <w:lsdException w:uiPriority="99" w:name="Table List 1" w:locked="1"/>
    <w:lsdException w:uiPriority="99" w:name="Table List 2" w:locked="1"/>
    <w:lsdException w:uiPriority="99" w:name="Table List 3" w:locked="1"/>
    <w:lsdException w:uiPriority="99" w:name="Table List 4" w:locked="1"/>
    <w:lsdException w:uiPriority="99" w:name="Table List 5" w:locked="1"/>
    <w:lsdException w:uiPriority="99" w:name="Table List 6" w:locked="1"/>
    <w:lsdException w:uiPriority="99" w:name="Table List 7" w:locked="1"/>
    <w:lsdException w:uiPriority="99" w:name="Table List 8" w:locked="1"/>
    <w:lsdException w:uiPriority="99" w:name="Table 3D effects 1" w:locked="1"/>
    <w:lsdException w:uiPriority="99" w:name="Table 3D effects 2" w:locked="1"/>
    <w:lsdException w:uiPriority="99" w:name="Table 3D effects 3" w:locked="1"/>
    <w:lsdException w:uiPriority="99" w:name="Table Contemporary" w:locked="1"/>
    <w:lsdException w:uiPriority="99" w:name="Table Elegant" w:locked="1"/>
    <w:lsdException w:uiPriority="99" w:name="Table Professional" w:locked="1"/>
    <w:lsdException w:uiPriority="99" w:name="Table Subtle 1" w:locked="1"/>
    <w:lsdException w:uiPriority="99" w:name="Table Subtle 2" w:locked="1"/>
    <w:lsdException w:uiPriority="99" w:name="Table Web 1" w:locked="1"/>
    <w:lsdException w:uiPriority="99" w:name="Table Web 2" w:locked="1"/>
    <w:lsdException w:uiPriority="99" w:name="Table Web 3" w:locked="1"/>
    <w:lsdException w:qFormat="1" w:unhideWhenUsed="0" w:uiPriority="99" w:name="Balloon Text"/>
    <w:lsdException w:unhideWhenUsed="0" w:uiPriority="59" w:semiHidden="0" w:name="Table Grid" w:locked="1"/>
    <w:lsdException w:uiPriority="99" w:name="Table Theme" w:locked="1"/>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lang w:val="en-US" w:eastAsia="zh-CN" w:bidi="ar-SA"/>
    </w:rPr>
  </w:style>
  <w:style w:type="paragraph" w:styleId="2">
    <w:name w:val="heading 2"/>
    <w:basedOn w:val="1"/>
    <w:next w:val="1"/>
    <w:link w:val="18"/>
    <w:qFormat/>
    <w:uiPriority w:val="99"/>
    <w:pPr>
      <w:keepNext/>
      <w:keepLines/>
      <w:spacing w:before="260" w:after="260" w:line="416" w:lineRule="auto"/>
      <w:outlineLvl w:val="1"/>
    </w:pPr>
    <w:rPr>
      <w:rFonts w:ascii="Cambria" w:hAnsi="Cambria"/>
      <w:b/>
      <w:bCs/>
      <w:kern w:val="0"/>
      <w:sz w:val="32"/>
      <w:szCs w:val="32"/>
    </w:rPr>
  </w:style>
  <w:style w:type="character" w:default="1" w:styleId="16">
    <w:name w:val="Default Paragraph Font"/>
    <w:semiHidden/>
    <w:unhideWhenUsed/>
    <w:uiPriority w:val="1"/>
  </w:style>
  <w:style w:type="table" w:default="1" w:styleId="15">
    <w:name w:val="Normal Table"/>
    <w:semiHidden/>
    <w:unhideWhenUsed/>
    <w:uiPriority w:val="99"/>
    <w:tblPr>
      <w:tblCellMar>
        <w:top w:w="0" w:type="dxa"/>
        <w:left w:w="108" w:type="dxa"/>
        <w:bottom w:w="0" w:type="dxa"/>
        <w:right w:w="108" w:type="dxa"/>
      </w:tblCellMar>
    </w:tblPr>
  </w:style>
  <w:style w:type="paragraph" w:styleId="3">
    <w:name w:val="toc 7"/>
    <w:basedOn w:val="1"/>
    <w:next w:val="1"/>
    <w:semiHidden/>
    <w:uiPriority w:val="99"/>
    <w:pPr>
      <w:ind w:left="2520" w:leftChars="1200"/>
    </w:pPr>
  </w:style>
  <w:style w:type="paragraph" w:styleId="4">
    <w:name w:val="toc 5"/>
    <w:basedOn w:val="1"/>
    <w:next w:val="1"/>
    <w:semiHidden/>
    <w:qFormat/>
    <w:uiPriority w:val="99"/>
    <w:pPr>
      <w:ind w:left="1680" w:leftChars="800"/>
    </w:pPr>
  </w:style>
  <w:style w:type="paragraph" w:styleId="5">
    <w:name w:val="toc 3"/>
    <w:basedOn w:val="1"/>
    <w:next w:val="1"/>
    <w:qFormat/>
    <w:uiPriority w:val="39"/>
    <w:pPr>
      <w:ind w:left="840" w:leftChars="400"/>
    </w:pPr>
  </w:style>
  <w:style w:type="paragraph" w:styleId="6">
    <w:name w:val="toc 8"/>
    <w:basedOn w:val="1"/>
    <w:next w:val="1"/>
    <w:semiHidden/>
    <w:qFormat/>
    <w:uiPriority w:val="99"/>
    <w:pPr>
      <w:ind w:left="2940" w:leftChars="1400"/>
    </w:pPr>
  </w:style>
  <w:style w:type="paragraph" w:styleId="7">
    <w:name w:val="Balloon Text"/>
    <w:basedOn w:val="1"/>
    <w:link w:val="19"/>
    <w:semiHidden/>
    <w:qFormat/>
    <w:uiPriority w:val="99"/>
    <w:rPr>
      <w:kern w:val="0"/>
      <w:sz w:val="18"/>
      <w:szCs w:val="18"/>
    </w:rPr>
  </w:style>
  <w:style w:type="paragraph" w:styleId="8">
    <w:name w:val="footer"/>
    <w:basedOn w:val="1"/>
    <w:link w:val="20"/>
    <w:qFormat/>
    <w:uiPriority w:val="99"/>
    <w:pPr>
      <w:tabs>
        <w:tab w:val="center" w:pos="4153"/>
        <w:tab w:val="right" w:pos="8306"/>
      </w:tabs>
      <w:snapToGrid w:val="0"/>
      <w:jc w:val="left"/>
    </w:pPr>
    <w:rPr>
      <w:kern w:val="0"/>
      <w:sz w:val="18"/>
      <w:szCs w:val="18"/>
    </w:rPr>
  </w:style>
  <w:style w:type="paragraph" w:styleId="9">
    <w:name w:val="header"/>
    <w:basedOn w:val="1"/>
    <w:link w:val="21"/>
    <w:qFormat/>
    <w:uiPriority w:val="99"/>
    <w:pPr>
      <w:pBdr>
        <w:bottom w:val="single" w:color="auto" w:sz="6" w:space="1"/>
      </w:pBdr>
      <w:tabs>
        <w:tab w:val="center" w:pos="4153"/>
        <w:tab w:val="right" w:pos="8306"/>
      </w:tabs>
      <w:snapToGrid w:val="0"/>
      <w:jc w:val="center"/>
    </w:pPr>
    <w:rPr>
      <w:kern w:val="0"/>
      <w:sz w:val="18"/>
      <w:szCs w:val="18"/>
    </w:rPr>
  </w:style>
  <w:style w:type="paragraph" w:styleId="10">
    <w:name w:val="toc 1"/>
    <w:basedOn w:val="1"/>
    <w:next w:val="1"/>
    <w:qFormat/>
    <w:uiPriority w:val="39"/>
  </w:style>
  <w:style w:type="paragraph" w:styleId="11">
    <w:name w:val="toc 4"/>
    <w:basedOn w:val="1"/>
    <w:next w:val="1"/>
    <w:semiHidden/>
    <w:qFormat/>
    <w:uiPriority w:val="99"/>
    <w:pPr>
      <w:ind w:left="1260" w:leftChars="600"/>
    </w:pPr>
  </w:style>
  <w:style w:type="paragraph" w:styleId="12">
    <w:name w:val="toc 6"/>
    <w:basedOn w:val="1"/>
    <w:next w:val="1"/>
    <w:semiHidden/>
    <w:qFormat/>
    <w:uiPriority w:val="99"/>
    <w:pPr>
      <w:ind w:left="2100" w:leftChars="1000"/>
    </w:pPr>
  </w:style>
  <w:style w:type="paragraph" w:styleId="13">
    <w:name w:val="toc 2"/>
    <w:basedOn w:val="1"/>
    <w:next w:val="1"/>
    <w:qFormat/>
    <w:uiPriority w:val="39"/>
    <w:pPr>
      <w:ind w:left="420" w:leftChars="200"/>
    </w:pPr>
  </w:style>
  <w:style w:type="paragraph" w:styleId="14">
    <w:name w:val="toc 9"/>
    <w:basedOn w:val="1"/>
    <w:next w:val="1"/>
    <w:semiHidden/>
    <w:qFormat/>
    <w:uiPriority w:val="99"/>
    <w:pPr>
      <w:ind w:left="3360" w:leftChars="1600"/>
    </w:pPr>
  </w:style>
  <w:style w:type="character" w:styleId="17">
    <w:name w:val="Hyperlink"/>
    <w:qFormat/>
    <w:uiPriority w:val="99"/>
    <w:rPr>
      <w:rFonts w:cs="Times New Roman"/>
      <w:color w:val="0000FF"/>
      <w:u w:val="single"/>
    </w:rPr>
  </w:style>
  <w:style w:type="character" w:customStyle="1" w:styleId="18">
    <w:name w:val="标题 2 字符"/>
    <w:link w:val="2"/>
    <w:qFormat/>
    <w:locked/>
    <w:uiPriority w:val="99"/>
    <w:rPr>
      <w:rFonts w:ascii="Cambria" w:hAnsi="Cambria" w:eastAsia="宋体"/>
      <w:b/>
      <w:sz w:val="32"/>
    </w:rPr>
  </w:style>
  <w:style w:type="character" w:customStyle="1" w:styleId="19">
    <w:name w:val="批注框文本 字符"/>
    <w:link w:val="7"/>
    <w:semiHidden/>
    <w:qFormat/>
    <w:locked/>
    <w:uiPriority w:val="99"/>
    <w:rPr>
      <w:rFonts w:ascii="Times New Roman" w:hAnsi="Times New Roman" w:eastAsia="宋体"/>
      <w:sz w:val="18"/>
    </w:rPr>
  </w:style>
  <w:style w:type="character" w:customStyle="1" w:styleId="20">
    <w:name w:val="页脚 字符"/>
    <w:link w:val="8"/>
    <w:qFormat/>
    <w:locked/>
    <w:uiPriority w:val="99"/>
    <w:rPr>
      <w:sz w:val="18"/>
    </w:rPr>
  </w:style>
  <w:style w:type="character" w:customStyle="1" w:styleId="21">
    <w:name w:val="页眉 字符"/>
    <w:link w:val="9"/>
    <w:qFormat/>
    <w:locked/>
    <w:uiPriority w:val="99"/>
    <w:rPr>
      <w:sz w:val="18"/>
    </w:rPr>
  </w:style>
  <w:style w:type="paragraph" w:customStyle="1" w:styleId="22">
    <w:name w:val="列出段落1"/>
    <w:basedOn w:val="1"/>
    <w:qFormat/>
    <w:uiPriority w:val="99"/>
    <w:pPr>
      <w:ind w:firstLine="420" w:firstLineChars="200"/>
    </w:pPr>
    <w:rPr>
      <w:rFonts w:ascii="Calibri" w:hAnsi="Calibri" w:cs="黑体"/>
      <w:szCs w:val="22"/>
    </w:rPr>
  </w:style>
  <w:style w:type="paragraph" w:styleId="23">
    <w:name w:val="List Paragraph"/>
    <w:basedOn w:val="1"/>
    <w:qFormat/>
    <w:uiPriority w:val="99"/>
    <w:pPr>
      <w:ind w:left="720"/>
      <w:contextualSpacing/>
    </w:p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5" Type="http://schemas.openxmlformats.org/officeDocument/2006/relationships/fontTable" Target="fontTable.xml"/><Relationship Id="rId24" Type="http://schemas.openxmlformats.org/officeDocument/2006/relationships/customXml" Target="../customXml/item2.xml"/><Relationship Id="rId23" Type="http://schemas.openxmlformats.org/officeDocument/2006/relationships/numbering" Target="numbering.xml"/><Relationship Id="rId22" Type="http://schemas.openxmlformats.org/officeDocument/2006/relationships/customXml" Target="../customXml/item1.xml"/><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300D794-8DBB-4978-B982-9FA37F476F36}">
  <ds:schemaRefs/>
</ds:datastoreItem>
</file>

<file path=docProps/app.xml><?xml version="1.0" encoding="utf-8"?>
<Properties xmlns="http://schemas.openxmlformats.org/officeDocument/2006/extended-properties" xmlns:vt="http://schemas.openxmlformats.org/officeDocument/2006/docPropsVTypes">
  <Template>Normal</Template>
  <Pages>15</Pages>
  <Words>2119</Words>
  <Characters>10847</Characters>
  <Lines>92</Lines>
  <Paragraphs>26</Paragraphs>
  <TotalTime>25</TotalTime>
  <ScaleCrop>false</ScaleCrop>
  <LinksUpToDate>false</LinksUpToDate>
  <CharactersWithSpaces>12912</CharactersWithSpaces>
  <Application>WPS Office_11.1.0.13703_F1E327BC-269C-435d-A152-05C5408002CA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2023-05-06T01:42:00Z</dcterms:created>
  <dc:creator>seamas</dc:creator>
  <cp:lastModifiedBy>晨旭蓝羽</cp:lastModifiedBy>
  <dcterms:modified xsi:type="dcterms:W3CDTF">2024-07-24T05:54:26Z</dcterms:modified>
  <dc:title>目录</dc:title>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2052-11.1.0.13703</vt:lpwstr>
  </property>
  <property fmtid="{D5CDD505-2E9C-101B-9397-08002B2CF9AE}" pid="3" name="ICV">
    <vt:lpwstr>0298E0B90FBE49249F3ED533F0ABED4D</vt:lpwstr>
  </property>
</Properties>
</file>